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50A" w:rsidRDefault="00673655" w:rsidP="00A11F7D">
      <w:pPr>
        <w:spacing w:after="0"/>
        <w:jc w:val="center"/>
        <w:rPr>
          <w:b/>
          <w:sz w:val="28"/>
          <w:szCs w:val="28"/>
        </w:rPr>
      </w:pPr>
      <w:r w:rsidRPr="00673655">
        <w:rPr>
          <w:b/>
          <w:sz w:val="28"/>
          <w:szCs w:val="28"/>
        </w:rPr>
        <w:t xml:space="preserve">Business </w:t>
      </w:r>
      <w:r w:rsidR="00A11F7D">
        <w:rPr>
          <w:b/>
          <w:sz w:val="28"/>
          <w:szCs w:val="28"/>
        </w:rPr>
        <w:t>demography in the Combined Authority</w:t>
      </w:r>
    </w:p>
    <w:p w:rsidR="00A11F7D" w:rsidRPr="00A11F7D" w:rsidRDefault="00A11F7D" w:rsidP="00673655">
      <w:pPr>
        <w:jc w:val="center"/>
        <w:rPr>
          <w:b/>
          <w:i/>
          <w:sz w:val="28"/>
          <w:szCs w:val="28"/>
        </w:rPr>
      </w:pPr>
      <w:r w:rsidRPr="00A11F7D">
        <w:rPr>
          <w:b/>
          <w:i/>
          <w:sz w:val="28"/>
          <w:szCs w:val="28"/>
        </w:rPr>
        <w:t>A note on the drop in business births in 2017</w:t>
      </w:r>
    </w:p>
    <w:p w:rsidR="007E4902" w:rsidRPr="00B173F6" w:rsidRDefault="007E4902" w:rsidP="007E4902">
      <w:pPr>
        <w:jc w:val="center"/>
        <w:rPr>
          <w:b/>
          <w:i/>
          <w:sz w:val="28"/>
          <w:szCs w:val="28"/>
        </w:rPr>
      </w:pPr>
      <w:r w:rsidRPr="00B173F6">
        <w:rPr>
          <w:b/>
          <w:i/>
          <w:sz w:val="28"/>
          <w:szCs w:val="28"/>
        </w:rPr>
        <w:t>*</w:t>
      </w:r>
      <w:r>
        <w:rPr>
          <w:b/>
          <w:i/>
          <w:sz w:val="28"/>
          <w:szCs w:val="28"/>
        </w:rPr>
        <w:t>Prepared for CPIER</w:t>
      </w:r>
      <w:r w:rsidRPr="00B173F6">
        <w:rPr>
          <w:b/>
          <w:i/>
          <w:sz w:val="28"/>
          <w:szCs w:val="28"/>
        </w:rPr>
        <w:t>*</w:t>
      </w:r>
    </w:p>
    <w:p w:rsidR="007E4902" w:rsidRPr="008517D0" w:rsidRDefault="007E4902" w:rsidP="007E4902">
      <w:pPr>
        <w:jc w:val="center"/>
        <w:rPr>
          <w:sz w:val="28"/>
          <w:szCs w:val="28"/>
        </w:rPr>
      </w:pPr>
      <w:r>
        <w:rPr>
          <w:sz w:val="28"/>
          <w:szCs w:val="28"/>
        </w:rPr>
        <w:t>Updated</w:t>
      </w:r>
      <w:r w:rsidRPr="008517D0">
        <w:rPr>
          <w:sz w:val="28"/>
          <w:szCs w:val="28"/>
        </w:rPr>
        <w:t xml:space="preserve">: </w:t>
      </w:r>
      <w:r>
        <w:rPr>
          <w:sz w:val="28"/>
          <w:szCs w:val="28"/>
        </w:rPr>
        <w:t>1</w:t>
      </w:r>
      <w:r w:rsidR="00115074">
        <w:rPr>
          <w:sz w:val="28"/>
          <w:szCs w:val="28"/>
        </w:rPr>
        <w:t>9</w:t>
      </w:r>
      <w:r>
        <w:rPr>
          <w:sz w:val="28"/>
          <w:szCs w:val="28"/>
        </w:rPr>
        <w:t xml:space="preserve"> June 2019</w:t>
      </w:r>
    </w:p>
    <w:p w:rsidR="00673655" w:rsidRDefault="006F74F9" w:rsidP="00D071F6">
      <w:pPr>
        <w:jc w:val="both"/>
      </w:pPr>
      <w:r>
        <w:t>Our</w:t>
      </w:r>
      <w:r w:rsidR="00575BCA">
        <w:t xml:space="preserve"> </w:t>
      </w:r>
      <w:r w:rsidR="00D42B15">
        <w:t xml:space="preserve">2017 draw </w:t>
      </w:r>
      <w:r>
        <w:t>analysis of business demography for the Combined Authority and its constituent districts point</w:t>
      </w:r>
      <w:r w:rsidR="00575BCA">
        <w:t>ed</w:t>
      </w:r>
      <w:r>
        <w:t xml:space="preserve"> to a substantial drop in the number of business births in the area during 2016-17 compared with earlier</w:t>
      </w:r>
      <w:r w:rsidR="001B26B3">
        <w:t xml:space="preserve"> years</w:t>
      </w:r>
      <w:r>
        <w:t>.</w:t>
      </w:r>
      <w:r w:rsidR="00BE391F">
        <w:rPr>
          <w:rStyle w:val="FootnoteReference"/>
        </w:rPr>
        <w:footnoteReference w:id="1"/>
      </w:r>
      <w:r>
        <w:t xml:space="preserve"> These results prompted a discussion among </w:t>
      </w:r>
      <w:r w:rsidR="00B1029A">
        <w:t xml:space="preserve">the Cambridgeshire and Peterborough Independent Economic Review (CPIER) </w:t>
      </w:r>
      <w:r>
        <w:t>Commissioners</w:t>
      </w:r>
      <w:r w:rsidR="00575BCA">
        <w:t xml:space="preserve"> about </w:t>
      </w:r>
      <w:r w:rsidR="009A2883">
        <w:t>the extent to which this trend is mirrored at the national level</w:t>
      </w:r>
      <w:r w:rsidR="00461961">
        <w:t>, along with</w:t>
      </w:r>
      <w:r w:rsidR="009A2883">
        <w:t xml:space="preserve"> the reasons behind this slow-down in the rate of start-ups in the Combined Authority</w:t>
      </w:r>
      <w:r w:rsidR="00575BCA">
        <w:t>. This note seeks to shed light on these issues</w:t>
      </w:r>
      <w:r w:rsidR="00B1029A">
        <w:t xml:space="preserve">, taking into account the </w:t>
      </w:r>
      <w:r w:rsidR="00D42B15">
        <w:t xml:space="preserve">latest </w:t>
      </w:r>
      <w:r w:rsidR="00461961">
        <w:t xml:space="preserve">figures on </w:t>
      </w:r>
      <w:r w:rsidR="00B1029A">
        <w:t xml:space="preserve">business </w:t>
      </w:r>
      <w:r w:rsidR="00461961">
        <w:t>births and deaths in the local sub-region derived from our 2018 draw</w:t>
      </w:r>
      <w:r w:rsidR="00575BCA">
        <w:t>.</w:t>
      </w:r>
    </w:p>
    <w:p w:rsidR="002E6908" w:rsidRPr="00C20927" w:rsidRDefault="002E6908" w:rsidP="002E6908">
      <w:pPr>
        <w:keepNext/>
        <w:rPr>
          <w:b/>
        </w:rPr>
      </w:pPr>
      <w:r w:rsidRPr="00C20927">
        <w:rPr>
          <w:b/>
        </w:rPr>
        <w:t>Business births in the Combined Authority</w:t>
      </w:r>
    </w:p>
    <w:p w:rsidR="006F74F9" w:rsidRDefault="00575BCA" w:rsidP="00D071F6">
      <w:pPr>
        <w:jc w:val="both"/>
      </w:pPr>
      <w:r>
        <w:t>Figure 1 plots the number of business births and deaths in the Cambridgeshire and Peterborough area between 2011-12 and 201</w:t>
      </w:r>
      <w:r w:rsidR="00D42B15">
        <w:t>7</w:t>
      </w:r>
      <w:r>
        <w:t>-1</w:t>
      </w:r>
      <w:r w:rsidR="00D42B15">
        <w:t>8</w:t>
      </w:r>
      <w:r>
        <w:t xml:space="preserve">. </w:t>
      </w:r>
      <w:r w:rsidR="005D2A0E">
        <w:t>The figure is based on data collected by the CBR</w:t>
      </w:r>
      <w:r w:rsidR="00D42B15">
        <w:t xml:space="preserve"> as part of the 2018 draw and </w:t>
      </w:r>
      <w:r w:rsidR="005D2A0E">
        <w:t>refer</w:t>
      </w:r>
      <w:r w:rsidR="00871BAF">
        <w:t>s</w:t>
      </w:r>
      <w:r w:rsidR="005D2A0E">
        <w:t xml:space="preserve"> to companies that are based in the area (national and foreign companies that are active in the area are not included).</w:t>
      </w:r>
    </w:p>
    <w:p w:rsidR="00673655" w:rsidRDefault="00673655" w:rsidP="00673655">
      <w:pPr>
        <w:keepNext/>
      </w:pPr>
      <w:r>
        <w:t>Figure 1 Business births and deaths in the Combined Authority</w:t>
      </w:r>
    </w:p>
    <w:p w:rsidR="00673655" w:rsidRDefault="00526B73" w:rsidP="00411562">
      <w:r>
        <w:rPr>
          <w:noProof/>
          <w:lang w:eastAsia="en-GB"/>
        </w:rPr>
        <w:drawing>
          <wp:inline distT="0" distB="0" distL="0" distR="0" wp14:anchorId="1B3A0AFC" wp14:editId="0D1AC864">
            <wp:extent cx="5731510" cy="3439160"/>
            <wp:effectExtent l="0" t="0" r="254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73655" w:rsidRDefault="00673655">
      <w:r w:rsidRPr="00673655">
        <w:rPr>
          <w:i/>
        </w:rPr>
        <w:t>Source:</w:t>
      </w:r>
      <w:r>
        <w:t xml:space="preserve"> </w:t>
      </w:r>
      <w:r w:rsidR="00575BCA">
        <w:t>CBR</w:t>
      </w:r>
      <w:r>
        <w:t>.</w:t>
      </w:r>
    </w:p>
    <w:p w:rsidR="00084681" w:rsidRDefault="00BE391F" w:rsidP="00084681">
      <w:pPr>
        <w:jc w:val="both"/>
      </w:pPr>
      <w:r>
        <w:lastRenderedPageBreak/>
        <w:t>While business births and deaths have witnessed an upward trend until 2015-16, there is evidence of a significant decline in the number of newly registered firms in 2016-17</w:t>
      </w:r>
      <w:r w:rsidR="002E6E4A">
        <w:t xml:space="preserve">. Our data suggest that business births in the Combined Authority </w:t>
      </w:r>
      <w:r w:rsidR="009A2883">
        <w:t>have fallen</w:t>
      </w:r>
      <w:r w:rsidR="002E6E4A">
        <w:t xml:space="preserve"> </w:t>
      </w:r>
      <w:r w:rsidR="002E6E4A" w:rsidRPr="00151354">
        <w:t>from 3,2</w:t>
      </w:r>
      <w:r w:rsidR="00151354" w:rsidRPr="00151354">
        <w:t>91</w:t>
      </w:r>
      <w:r w:rsidR="002E6E4A" w:rsidRPr="00151354">
        <w:t xml:space="preserve"> in</w:t>
      </w:r>
      <w:r w:rsidR="002E6E4A">
        <w:t xml:space="preserve"> 2015-</w:t>
      </w:r>
      <w:r w:rsidR="002E6E4A" w:rsidRPr="00151354">
        <w:t xml:space="preserve">16 </w:t>
      </w:r>
      <w:r w:rsidR="002E6E4A" w:rsidRPr="00DB5C55">
        <w:t xml:space="preserve">to </w:t>
      </w:r>
      <w:r w:rsidR="00151354" w:rsidRPr="00DB5C55">
        <w:t>2,228</w:t>
      </w:r>
      <w:r w:rsidR="002E6E4A" w:rsidRPr="00DB5C55">
        <w:t xml:space="preserve"> in 2016-17, with all </w:t>
      </w:r>
      <w:r w:rsidR="00496026" w:rsidRPr="00DB5C55">
        <w:t xml:space="preserve">the </w:t>
      </w:r>
      <w:r w:rsidR="002E6E4A" w:rsidRPr="00DB5C55">
        <w:t xml:space="preserve">districts experiencing a marked reduction in business formations </w:t>
      </w:r>
      <w:r w:rsidR="009A2883" w:rsidRPr="00DB5C55">
        <w:t xml:space="preserve">(the largest reduction is </w:t>
      </w:r>
      <w:r w:rsidR="00CF726F" w:rsidRPr="00DB5C55">
        <w:t>found</w:t>
      </w:r>
      <w:r w:rsidR="009A2883" w:rsidRPr="00DB5C55">
        <w:t xml:space="preserve"> for Peterborough, which has experienced a </w:t>
      </w:r>
      <w:r w:rsidR="00496026" w:rsidRPr="00DB5C55">
        <w:t>-</w:t>
      </w:r>
      <w:r w:rsidR="009A2883" w:rsidRPr="00DB5C55">
        <w:t xml:space="preserve">55.8% </w:t>
      </w:r>
      <w:r w:rsidR="00496026" w:rsidRPr="00DB5C55">
        <w:t>change</w:t>
      </w:r>
      <w:r w:rsidR="009A2883" w:rsidRPr="00DB5C55">
        <w:t xml:space="preserve"> in business births</w:t>
      </w:r>
      <w:r w:rsidR="00DB5C55" w:rsidRPr="00DB5C55">
        <w:t xml:space="preserve"> according to 2017 draw data</w:t>
      </w:r>
      <w:r w:rsidR="009A2883" w:rsidRPr="00DB5C55">
        <w:t>).</w:t>
      </w:r>
      <w:r w:rsidR="001A64BE" w:rsidRPr="00DB5C55">
        <w:t xml:space="preserve"> </w:t>
      </w:r>
      <w:r w:rsidR="00084681">
        <w:t xml:space="preserve">A possible explanation behind this reduction in business formations towards the end of the sample period might be the relatively high number of incorporated academies in the years up to 2015-16, which </w:t>
      </w:r>
      <w:r w:rsidR="00FC7E2F">
        <w:t>are reflected</w:t>
      </w:r>
      <w:r w:rsidR="00084681">
        <w:t xml:space="preserve"> in larger figures for business births during the first period covered in our analysis. </w:t>
      </w:r>
      <w:r w:rsidR="00FC7E2F">
        <w:t xml:space="preserve">A case in point is 2012-13, during which businesses formed in that year have employed an average of 3.9 people </w:t>
      </w:r>
      <w:r w:rsidR="00E14F2A">
        <w:t xml:space="preserve">– an unusually high figure for newly formed businesses – compared </w:t>
      </w:r>
      <w:r w:rsidR="00FC7E2F">
        <w:t>with a</w:t>
      </w:r>
      <w:r w:rsidR="00E14F2A">
        <w:t>n</w:t>
      </w:r>
      <w:r w:rsidR="00FC7E2F">
        <w:t xml:space="preserve"> </w:t>
      </w:r>
      <w:r w:rsidR="00E14F2A">
        <w:t>average</w:t>
      </w:r>
      <w:r w:rsidR="00FC7E2F">
        <w:t xml:space="preserve"> of 2.3 </w:t>
      </w:r>
      <w:r w:rsidR="00E14F2A">
        <w:t>throughout</w:t>
      </w:r>
      <w:r w:rsidR="00FC7E2F">
        <w:t xml:space="preserve"> the whole period.</w:t>
      </w:r>
    </w:p>
    <w:p w:rsidR="00673655" w:rsidRDefault="001A64BE" w:rsidP="00D071F6">
      <w:pPr>
        <w:jc w:val="both"/>
      </w:pPr>
      <w:r w:rsidRPr="00DB5C55">
        <w:t>Th</w:t>
      </w:r>
      <w:r w:rsidR="00E14F2A">
        <w:t>e</w:t>
      </w:r>
      <w:r w:rsidRPr="00DB5C55">
        <w:t xml:space="preserve"> fall in business births </w:t>
      </w:r>
      <w:r w:rsidR="00E14F2A">
        <w:t xml:space="preserve">during 2016-17 </w:t>
      </w:r>
      <w:r w:rsidRPr="00DB5C55">
        <w:t xml:space="preserve">has been accompanied by a </w:t>
      </w:r>
      <w:r w:rsidR="00C55EDC">
        <w:t>considerable</w:t>
      </w:r>
      <w:r w:rsidRPr="00DB5C55">
        <w:t xml:space="preserve"> increase in the number of companies that </w:t>
      </w:r>
      <w:r w:rsidR="00332B44">
        <w:t xml:space="preserve">have </w:t>
      </w:r>
      <w:r w:rsidR="008C6C4D" w:rsidRPr="00DB5C55">
        <w:t>died during</w:t>
      </w:r>
      <w:r w:rsidRPr="00DB5C55">
        <w:t xml:space="preserve"> the same year, with </w:t>
      </w:r>
      <w:r w:rsidR="008C6C4D" w:rsidRPr="00DB5C55">
        <w:t xml:space="preserve">a total of </w:t>
      </w:r>
      <w:r w:rsidRPr="00DB5C55">
        <w:t>2,020 companies</w:t>
      </w:r>
      <w:r>
        <w:t xml:space="preserve"> </w:t>
      </w:r>
      <w:r w:rsidR="00C55EDC">
        <w:t>dissolved or liquidated</w:t>
      </w:r>
      <w:r>
        <w:t xml:space="preserve"> in 2016-17 compared with 1,764 one year earlier.</w:t>
      </w:r>
      <w:r w:rsidR="008C6C4D">
        <w:t xml:space="preserve"> </w:t>
      </w:r>
      <w:r w:rsidR="0093391C">
        <w:t xml:space="preserve">It is also worth noting that 2016-17 has been the first year </w:t>
      </w:r>
      <w:r w:rsidR="003F0531">
        <w:t>(during the period we have examined)</w:t>
      </w:r>
      <w:r w:rsidR="005369BF">
        <w:t xml:space="preserve"> </w:t>
      </w:r>
      <w:r w:rsidR="0093391C">
        <w:t>when the number of employees at newly formed companies (4,198) has exceeded the number of employees at discontinued companies (4,256)</w:t>
      </w:r>
      <w:r w:rsidR="00871BAF">
        <w:t>, thereby contributing negatively to the total employment base in the area</w:t>
      </w:r>
      <w:r w:rsidR="0093391C">
        <w:t xml:space="preserve">. </w:t>
      </w:r>
      <w:r w:rsidR="00E14F2A">
        <w:t xml:space="preserve">This is not </w:t>
      </w:r>
      <w:r w:rsidR="005369BF">
        <w:t xml:space="preserve">entirely </w:t>
      </w:r>
      <w:r w:rsidR="00E14F2A">
        <w:t xml:space="preserve">surprising, since a period of high generation of businesses such as the one until 2015-16 is likely to result in a higher number of business deaths with some lag – given that start-ups frequently fail in the first few years of operation. </w:t>
      </w:r>
      <w:r w:rsidR="008C6C4D">
        <w:t xml:space="preserve">However, </w:t>
      </w:r>
      <w:r w:rsidR="00E14F2A">
        <w:t>as</w:t>
      </w:r>
      <w:r w:rsidR="008C6C4D">
        <w:t xml:space="preserve"> the number of companies that </w:t>
      </w:r>
      <w:r w:rsidR="00332B44">
        <w:t>have been</w:t>
      </w:r>
      <w:r w:rsidR="008C6C4D">
        <w:t xml:space="preserve"> born </w:t>
      </w:r>
      <w:r w:rsidR="00154D1A">
        <w:t xml:space="preserve">during the year </w:t>
      </w:r>
      <w:r w:rsidR="008C6C4D">
        <w:t xml:space="preserve">has exceeded those that </w:t>
      </w:r>
      <w:r w:rsidR="00332B44">
        <w:t xml:space="preserve">have </w:t>
      </w:r>
      <w:r w:rsidR="008C6C4D">
        <w:t xml:space="preserve">died, the stock of companies that were alive at the end of the </w:t>
      </w:r>
      <w:r w:rsidR="00154D1A">
        <w:t>period</w:t>
      </w:r>
      <w:r w:rsidR="008C6C4D">
        <w:t xml:space="preserve"> has gone up by 208</w:t>
      </w:r>
      <w:r w:rsidR="00154D1A">
        <w:t xml:space="preserve"> </w:t>
      </w:r>
      <w:r w:rsidR="00282C1D">
        <w:t>companies</w:t>
      </w:r>
      <w:r w:rsidR="008C6C4D">
        <w:t>.</w:t>
      </w:r>
      <w:r w:rsidR="005F12FD">
        <w:t xml:space="preserve"> Business births and deaths have both recovered during 2017-18, as shown by the two lines in Figure 1 moving away from each other in the last year covered by our analysis.</w:t>
      </w:r>
    </w:p>
    <w:p w:rsidR="002E6908" w:rsidRPr="00C20927" w:rsidRDefault="002E6908" w:rsidP="002E6908">
      <w:pPr>
        <w:keepNext/>
        <w:rPr>
          <w:b/>
        </w:rPr>
      </w:pPr>
      <w:r w:rsidRPr="00C20927">
        <w:rPr>
          <w:b/>
        </w:rPr>
        <w:t xml:space="preserve">What </w:t>
      </w:r>
      <w:r w:rsidR="00341DB6" w:rsidRPr="00C20927">
        <w:rPr>
          <w:b/>
        </w:rPr>
        <w:t>has been</w:t>
      </w:r>
      <w:r w:rsidRPr="00C20927">
        <w:rPr>
          <w:b/>
        </w:rPr>
        <w:t xml:space="preserve"> the trend in company incorporations </w:t>
      </w:r>
      <w:r w:rsidR="00341DB6" w:rsidRPr="00C20927">
        <w:rPr>
          <w:b/>
        </w:rPr>
        <w:t>for</w:t>
      </w:r>
      <w:r w:rsidRPr="00C20927">
        <w:rPr>
          <w:b/>
        </w:rPr>
        <w:t xml:space="preserve"> the UK</w:t>
      </w:r>
      <w:r w:rsidR="00341DB6" w:rsidRPr="00C20927">
        <w:rPr>
          <w:b/>
        </w:rPr>
        <w:t>?</w:t>
      </w:r>
    </w:p>
    <w:p w:rsidR="009A2883" w:rsidRDefault="009F2C78" w:rsidP="00D071F6">
      <w:pPr>
        <w:jc w:val="both"/>
      </w:pPr>
      <w:r>
        <w:t xml:space="preserve">In light of this evidence, </w:t>
      </w:r>
      <w:r w:rsidR="00CF726F">
        <w:t xml:space="preserve">it is instructive to examine whether the decline in business births observed in the Cambridgeshire and Peterborough area is confirmed </w:t>
      </w:r>
      <w:r w:rsidR="00496026">
        <w:t xml:space="preserve">by data </w:t>
      </w:r>
      <w:r w:rsidR="00CF726F">
        <w:t xml:space="preserve">at the national level. To this purpose, Figure 2 depicts the number of company incorporations and dissolutions in the UK </w:t>
      </w:r>
      <w:r w:rsidR="003530C9">
        <w:t xml:space="preserve">by year </w:t>
      </w:r>
      <w:r w:rsidR="00CF726F">
        <w:t>over the period 2011-201</w:t>
      </w:r>
      <w:r w:rsidR="008A0833">
        <w:t>8</w:t>
      </w:r>
      <w:r w:rsidR="00267EC4">
        <w:t>. The underlying data are ta</w:t>
      </w:r>
      <w:r w:rsidR="006317EB">
        <w:t>ken from Companies House, which constitutes the source of accounting information used to produce the corporate database</w:t>
      </w:r>
      <w:r w:rsidR="003530C9">
        <w:t xml:space="preserve"> and therefore allows for a meaningful comparison with figures at the sub-regional level</w:t>
      </w:r>
      <w:r w:rsidR="006317EB">
        <w:t>.</w:t>
      </w:r>
      <w:r w:rsidR="00DE69F7">
        <w:rPr>
          <w:rStyle w:val="FootnoteReference"/>
        </w:rPr>
        <w:footnoteReference w:id="2"/>
      </w:r>
    </w:p>
    <w:p w:rsidR="00673655" w:rsidRDefault="00673655" w:rsidP="00673655">
      <w:pPr>
        <w:keepNext/>
      </w:pPr>
      <w:r>
        <w:lastRenderedPageBreak/>
        <w:t>Figure 2 Company incorporations and dissolutions in the UK by year</w:t>
      </w:r>
    </w:p>
    <w:p w:rsidR="00673655" w:rsidRDefault="008A0833">
      <w:r>
        <w:rPr>
          <w:noProof/>
          <w:lang w:eastAsia="en-GB"/>
        </w:rPr>
        <w:drawing>
          <wp:inline distT="0" distB="0" distL="0" distR="0" wp14:anchorId="221CC6E5" wp14:editId="408EB988">
            <wp:extent cx="5731510" cy="3439160"/>
            <wp:effectExtent l="0" t="0" r="2540"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3655" w:rsidRDefault="00673655">
      <w:r w:rsidRPr="00673655">
        <w:rPr>
          <w:i/>
        </w:rPr>
        <w:t>Source:</w:t>
      </w:r>
      <w:r>
        <w:t xml:space="preserve"> Companies House.</w:t>
      </w:r>
    </w:p>
    <w:p w:rsidR="00673655" w:rsidRDefault="00943846" w:rsidP="00D071F6">
      <w:pPr>
        <w:jc w:val="both"/>
      </w:pPr>
      <w:r>
        <w:t xml:space="preserve">Company incorporations and dissolutions have grown in tandem until 2016. However, whilst the number of dissolutions has continued to rise in </w:t>
      </w:r>
      <w:r w:rsidR="00D466B2">
        <w:t xml:space="preserve">both </w:t>
      </w:r>
      <w:r>
        <w:t>2017</w:t>
      </w:r>
      <w:r w:rsidR="00D466B2">
        <w:t xml:space="preserve"> and 2018</w:t>
      </w:r>
      <w:r>
        <w:t xml:space="preserve">, incorporations have slowed down </w:t>
      </w:r>
      <w:r w:rsidR="00D466B2">
        <w:t xml:space="preserve">in 2017 </w:t>
      </w:r>
      <w:r>
        <w:t xml:space="preserve">compared with </w:t>
      </w:r>
      <w:r w:rsidR="00AA3AB0">
        <w:t>earlier years</w:t>
      </w:r>
      <w:r w:rsidR="00D466B2">
        <w:t xml:space="preserve"> while increasing again in 2018</w:t>
      </w:r>
      <w:r>
        <w:t>. According to Companies House data, this has been the first time that company incorporations in the UK have dropped since 2011. In a nutshell, this evidence is consistent with our earlier findings for the Combined Authority, although the drop in business formations in the UK does not appear to be as large as that found for the local sub-region.</w:t>
      </w:r>
    </w:p>
    <w:p w:rsidR="00943846" w:rsidRDefault="00DB5081" w:rsidP="00D071F6">
      <w:pPr>
        <w:jc w:val="both"/>
      </w:pPr>
      <w:r>
        <w:t>Besides yearly data, Companies House publishes data with a quarterly frequency. These data are illustrated in Figure 3, which reports the number of company incorporations and dissolutions in the UK during the period between 2011 Q1 and 201</w:t>
      </w:r>
      <w:r w:rsidR="008A0833">
        <w:t>9</w:t>
      </w:r>
      <w:r>
        <w:t xml:space="preserve"> Q</w:t>
      </w:r>
      <w:r w:rsidR="008A0833">
        <w:t>1</w:t>
      </w:r>
      <w:r>
        <w:t xml:space="preserve">. It must be noted that both </w:t>
      </w:r>
      <w:r w:rsidR="00AA3AB0">
        <w:t xml:space="preserve">of these </w:t>
      </w:r>
      <w:r>
        <w:t>time series appear to exhibit a considerable degree of seasonality, thereby calling for caution in looking at quarter-on-quarter changes rather than year-on-year changes.</w:t>
      </w:r>
    </w:p>
    <w:p w:rsidR="00673655" w:rsidRDefault="00673655" w:rsidP="00DE69F7">
      <w:pPr>
        <w:keepNext/>
      </w:pPr>
      <w:r>
        <w:lastRenderedPageBreak/>
        <w:t>Figure 3 Company incorporations and dissolutions in the UK by quarter</w:t>
      </w:r>
    </w:p>
    <w:p w:rsidR="00673655" w:rsidRDefault="008A0833">
      <w:r>
        <w:rPr>
          <w:noProof/>
          <w:lang w:eastAsia="en-GB"/>
        </w:rPr>
        <w:drawing>
          <wp:inline distT="0" distB="0" distL="0" distR="0" wp14:anchorId="16D7B643" wp14:editId="6A66EB5D">
            <wp:extent cx="5731510" cy="3439160"/>
            <wp:effectExtent l="0" t="0" r="2540" b="889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73655" w:rsidRDefault="00673655" w:rsidP="00673655">
      <w:r w:rsidRPr="00673655">
        <w:rPr>
          <w:i/>
        </w:rPr>
        <w:t>Source:</w:t>
      </w:r>
      <w:r>
        <w:t xml:space="preserve"> Companies House.</w:t>
      </w:r>
    </w:p>
    <w:p w:rsidR="00673655" w:rsidRDefault="003420BB" w:rsidP="00D071F6">
      <w:pPr>
        <w:jc w:val="both"/>
      </w:pPr>
      <w:r>
        <w:t xml:space="preserve">Between April and June 2018, there have been 166,886 incorporations in the UK, up from 152,411 one year earlier. This result suggests a pickup in company incorporations during 2018, although the number of incorporations has remained somewhat lower than that in the same quarter of 2016. At the same time, one can notice that the number of incorporations has been at </w:t>
      </w:r>
      <w:r w:rsidR="00B047D5">
        <w:t xml:space="preserve">one of </w:t>
      </w:r>
      <w:r>
        <w:t>its highest in the second quarter of 2016 and has subsequently declined until the end of 2017, reaching a relatively low level in the fourth quarter of 2017</w:t>
      </w:r>
      <w:r w:rsidR="00B047D5">
        <w:t xml:space="preserve"> and increasing again during 2018</w:t>
      </w:r>
      <w:r>
        <w:t>.</w:t>
      </w:r>
      <w:r w:rsidR="00B047D5">
        <w:t xml:space="preserve"> Company incorporations have peaked in the first quarter of 2019, up 15,200 (9.1%) from one year earlier.</w:t>
      </w:r>
    </w:p>
    <w:p w:rsidR="0074244C" w:rsidRDefault="0074244C" w:rsidP="00D071F6">
      <w:pPr>
        <w:jc w:val="both"/>
      </w:pPr>
      <w:r>
        <w:t>Table 1 details the year-on-year changes in company incorporations and dissolutions in the UK based on Companies House data.</w:t>
      </w:r>
    </w:p>
    <w:p w:rsidR="00673655" w:rsidRDefault="00C7794E" w:rsidP="00DE69F7">
      <w:pPr>
        <w:keepNext/>
      </w:pPr>
      <w:r>
        <w:t>Table 1 Year-on-year change</w:t>
      </w:r>
      <w:r w:rsidR="00746811">
        <w:t>s</w:t>
      </w:r>
      <w:r>
        <w:t xml:space="preserve"> in company incorporations and dissolutions in the UK</w:t>
      </w:r>
      <w:r w:rsidR="00BE7A24">
        <w:t xml:space="preserve"> (second quarter)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1096"/>
        <w:gridCol w:w="1104"/>
        <w:gridCol w:w="1104"/>
        <w:gridCol w:w="1097"/>
        <w:gridCol w:w="1104"/>
        <w:gridCol w:w="1104"/>
        <w:gridCol w:w="1104"/>
      </w:tblGrid>
      <w:tr w:rsidR="00BE7A24" w:rsidTr="00BE7A24">
        <w:tc>
          <w:tcPr>
            <w:tcW w:w="1127" w:type="dxa"/>
            <w:tcBorders>
              <w:top w:val="single" w:sz="4" w:space="0" w:color="auto"/>
              <w:bottom w:val="single" w:sz="4" w:space="0" w:color="auto"/>
            </w:tcBorders>
          </w:tcPr>
          <w:p w:rsidR="00BE7A24" w:rsidRPr="00384C6D" w:rsidRDefault="00BE7A24" w:rsidP="00BE7A24"/>
        </w:tc>
        <w:tc>
          <w:tcPr>
            <w:tcW w:w="1127" w:type="dxa"/>
            <w:tcBorders>
              <w:top w:val="single" w:sz="4" w:space="0" w:color="auto"/>
              <w:bottom w:val="single" w:sz="4" w:space="0" w:color="auto"/>
            </w:tcBorders>
          </w:tcPr>
          <w:p w:rsidR="00BE7A24" w:rsidRPr="00BE7A24" w:rsidRDefault="00BE7A24" w:rsidP="00BE7A24">
            <w:pPr>
              <w:jc w:val="center"/>
              <w:rPr>
                <w:b/>
              </w:rPr>
            </w:pPr>
            <w:r w:rsidRPr="00BE7A24">
              <w:rPr>
                <w:b/>
              </w:rPr>
              <w:t>2012 Q2</w:t>
            </w:r>
          </w:p>
        </w:tc>
        <w:tc>
          <w:tcPr>
            <w:tcW w:w="1127" w:type="dxa"/>
            <w:tcBorders>
              <w:top w:val="single" w:sz="4" w:space="0" w:color="auto"/>
              <w:bottom w:val="single" w:sz="4" w:space="0" w:color="auto"/>
            </w:tcBorders>
          </w:tcPr>
          <w:p w:rsidR="00BE7A24" w:rsidRPr="00BE7A24" w:rsidRDefault="00BE7A24" w:rsidP="00BE7A24">
            <w:pPr>
              <w:jc w:val="center"/>
              <w:rPr>
                <w:b/>
              </w:rPr>
            </w:pPr>
            <w:r w:rsidRPr="00BE7A24">
              <w:rPr>
                <w:b/>
              </w:rPr>
              <w:t>2013 Q2</w:t>
            </w:r>
          </w:p>
        </w:tc>
        <w:tc>
          <w:tcPr>
            <w:tcW w:w="1127" w:type="dxa"/>
            <w:tcBorders>
              <w:top w:val="single" w:sz="4" w:space="0" w:color="auto"/>
              <w:bottom w:val="single" w:sz="4" w:space="0" w:color="auto"/>
            </w:tcBorders>
          </w:tcPr>
          <w:p w:rsidR="00BE7A24" w:rsidRPr="00BE7A24" w:rsidRDefault="00BE7A24" w:rsidP="00BE7A24">
            <w:pPr>
              <w:jc w:val="center"/>
              <w:rPr>
                <w:b/>
              </w:rPr>
            </w:pPr>
            <w:r w:rsidRPr="00BE7A24">
              <w:rPr>
                <w:b/>
              </w:rPr>
              <w:t>2014 Q2</w:t>
            </w:r>
          </w:p>
        </w:tc>
        <w:tc>
          <w:tcPr>
            <w:tcW w:w="1127" w:type="dxa"/>
            <w:tcBorders>
              <w:top w:val="single" w:sz="4" w:space="0" w:color="auto"/>
              <w:bottom w:val="single" w:sz="4" w:space="0" w:color="auto"/>
            </w:tcBorders>
          </w:tcPr>
          <w:p w:rsidR="00BE7A24" w:rsidRPr="00BE7A24" w:rsidRDefault="00BE7A24" w:rsidP="00BE7A24">
            <w:pPr>
              <w:jc w:val="center"/>
              <w:rPr>
                <w:b/>
              </w:rPr>
            </w:pPr>
            <w:r w:rsidRPr="00BE7A24">
              <w:rPr>
                <w:b/>
              </w:rPr>
              <w:t>2015 Q2</w:t>
            </w:r>
          </w:p>
        </w:tc>
        <w:tc>
          <w:tcPr>
            <w:tcW w:w="1127" w:type="dxa"/>
            <w:tcBorders>
              <w:top w:val="single" w:sz="4" w:space="0" w:color="auto"/>
              <w:bottom w:val="single" w:sz="4" w:space="0" w:color="auto"/>
            </w:tcBorders>
          </w:tcPr>
          <w:p w:rsidR="00BE7A24" w:rsidRPr="00BE7A24" w:rsidRDefault="00BE7A24" w:rsidP="00BE7A24">
            <w:pPr>
              <w:jc w:val="center"/>
              <w:rPr>
                <w:b/>
              </w:rPr>
            </w:pPr>
            <w:r w:rsidRPr="00BE7A24">
              <w:rPr>
                <w:b/>
              </w:rPr>
              <w:t>2016 Q2</w:t>
            </w:r>
          </w:p>
        </w:tc>
        <w:tc>
          <w:tcPr>
            <w:tcW w:w="1127" w:type="dxa"/>
            <w:tcBorders>
              <w:top w:val="single" w:sz="4" w:space="0" w:color="auto"/>
              <w:bottom w:val="single" w:sz="4" w:space="0" w:color="auto"/>
            </w:tcBorders>
          </w:tcPr>
          <w:p w:rsidR="00BE7A24" w:rsidRPr="00BE7A24" w:rsidRDefault="00BE7A24" w:rsidP="00BE7A24">
            <w:pPr>
              <w:jc w:val="center"/>
              <w:rPr>
                <w:b/>
              </w:rPr>
            </w:pPr>
            <w:r w:rsidRPr="00BE7A24">
              <w:rPr>
                <w:b/>
              </w:rPr>
              <w:t>2017 Q2</w:t>
            </w:r>
          </w:p>
        </w:tc>
        <w:tc>
          <w:tcPr>
            <w:tcW w:w="1127" w:type="dxa"/>
            <w:tcBorders>
              <w:top w:val="single" w:sz="4" w:space="0" w:color="auto"/>
              <w:bottom w:val="single" w:sz="4" w:space="0" w:color="auto"/>
            </w:tcBorders>
          </w:tcPr>
          <w:p w:rsidR="00BE7A24" w:rsidRPr="00BE7A24" w:rsidRDefault="00BE7A24" w:rsidP="00BE7A24">
            <w:pPr>
              <w:jc w:val="center"/>
              <w:rPr>
                <w:b/>
              </w:rPr>
            </w:pPr>
            <w:r w:rsidRPr="00BE7A24">
              <w:rPr>
                <w:b/>
              </w:rPr>
              <w:t>2018 Q2</w:t>
            </w:r>
          </w:p>
        </w:tc>
      </w:tr>
      <w:tr w:rsidR="00BE7A24" w:rsidTr="00BE7A24">
        <w:tc>
          <w:tcPr>
            <w:tcW w:w="1127" w:type="dxa"/>
            <w:tcBorders>
              <w:top w:val="single" w:sz="4" w:space="0" w:color="auto"/>
            </w:tcBorders>
          </w:tcPr>
          <w:p w:rsidR="00BE7A24" w:rsidRPr="00384C6D" w:rsidRDefault="00BE7A24" w:rsidP="00BE7A24">
            <w:r w:rsidRPr="00384C6D">
              <w:t>Incorporations</w:t>
            </w:r>
          </w:p>
        </w:tc>
        <w:tc>
          <w:tcPr>
            <w:tcW w:w="1127" w:type="dxa"/>
            <w:tcBorders>
              <w:top w:val="single" w:sz="4" w:space="0" w:color="auto"/>
            </w:tcBorders>
          </w:tcPr>
          <w:p w:rsidR="00BE7A24" w:rsidRPr="00384C6D" w:rsidRDefault="00BE7A24" w:rsidP="00BE7A24">
            <w:pPr>
              <w:jc w:val="center"/>
            </w:pPr>
            <w:r w:rsidRPr="00384C6D">
              <w:t>8.6%</w:t>
            </w:r>
          </w:p>
        </w:tc>
        <w:tc>
          <w:tcPr>
            <w:tcW w:w="1127" w:type="dxa"/>
            <w:tcBorders>
              <w:top w:val="single" w:sz="4" w:space="0" w:color="auto"/>
            </w:tcBorders>
          </w:tcPr>
          <w:p w:rsidR="00BE7A24" w:rsidRPr="00384C6D" w:rsidRDefault="00BE7A24" w:rsidP="00BE7A24">
            <w:pPr>
              <w:jc w:val="center"/>
            </w:pPr>
            <w:r w:rsidRPr="00384C6D">
              <w:t>10.9%</w:t>
            </w:r>
          </w:p>
        </w:tc>
        <w:tc>
          <w:tcPr>
            <w:tcW w:w="1127" w:type="dxa"/>
            <w:tcBorders>
              <w:top w:val="single" w:sz="4" w:space="0" w:color="auto"/>
            </w:tcBorders>
          </w:tcPr>
          <w:p w:rsidR="00BE7A24" w:rsidRPr="00384C6D" w:rsidRDefault="00BE7A24" w:rsidP="00BE7A24">
            <w:pPr>
              <w:jc w:val="center"/>
            </w:pPr>
            <w:r w:rsidRPr="00384C6D">
              <w:t>12.9%</w:t>
            </w:r>
          </w:p>
        </w:tc>
        <w:tc>
          <w:tcPr>
            <w:tcW w:w="1127" w:type="dxa"/>
            <w:tcBorders>
              <w:top w:val="single" w:sz="4" w:space="0" w:color="auto"/>
            </w:tcBorders>
          </w:tcPr>
          <w:p w:rsidR="00BE7A24" w:rsidRPr="00384C6D" w:rsidRDefault="00BE7A24" w:rsidP="00BE7A24">
            <w:pPr>
              <w:jc w:val="center"/>
            </w:pPr>
            <w:r w:rsidRPr="00384C6D">
              <w:t>3.4%</w:t>
            </w:r>
          </w:p>
        </w:tc>
        <w:tc>
          <w:tcPr>
            <w:tcW w:w="1127" w:type="dxa"/>
            <w:tcBorders>
              <w:top w:val="single" w:sz="4" w:space="0" w:color="auto"/>
            </w:tcBorders>
          </w:tcPr>
          <w:p w:rsidR="00BE7A24" w:rsidRPr="00384C6D" w:rsidRDefault="00BE7A24" w:rsidP="00BE7A24">
            <w:pPr>
              <w:jc w:val="center"/>
            </w:pPr>
            <w:r w:rsidRPr="00384C6D">
              <w:t>12.7%</w:t>
            </w:r>
          </w:p>
        </w:tc>
        <w:tc>
          <w:tcPr>
            <w:tcW w:w="1127" w:type="dxa"/>
            <w:tcBorders>
              <w:top w:val="single" w:sz="4" w:space="0" w:color="auto"/>
            </w:tcBorders>
          </w:tcPr>
          <w:p w:rsidR="00BE7A24" w:rsidRPr="00384C6D" w:rsidRDefault="00BE7A24" w:rsidP="00BE7A24">
            <w:pPr>
              <w:jc w:val="center"/>
            </w:pPr>
            <w:r w:rsidRPr="00384C6D">
              <w:t>-11.9%</w:t>
            </w:r>
          </w:p>
        </w:tc>
        <w:tc>
          <w:tcPr>
            <w:tcW w:w="1127" w:type="dxa"/>
            <w:tcBorders>
              <w:top w:val="single" w:sz="4" w:space="0" w:color="auto"/>
            </w:tcBorders>
          </w:tcPr>
          <w:p w:rsidR="00BE7A24" w:rsidRPr="00384C6D" w:rsidRDefault="00BE7A24" w:rsidP="00BE7A24">
            <w:pPr>
              <w:jc w:val="center"/>
            </w:pPr>
            <w:r w:rsidRPr="00384C6D">
              <w:t>9.5%</w:t>
            </w:r>
          </w:p>
        </w:tc>
      </w:tr>
      <w:tr w:rsidR="00BE7A24" w:rsidTr="00BE7A24">
        <w:tc>
          <w:tcPr>
            <w:tcW w:w="1127" w:type="dxa"/>
          </w:tcPr>
          <w:p w:rsidR="00BE7A24" w:rsidRPr="00384C6D" w:rsidRDefault="00BE7A24" w:rsidP="00BE7A24">
            <w:r w:rsidRPr="00384C6D">
              <w:t>Dissolutions</w:t>
            </w:r>
          </w:p>
        </w:tc>
        <w:tc>
          <w:tcPr>
            <w:tcW w:w="1127" w:type="dxa"/>
          </w:tcPr>
          <w:p w:rsidR="00BE7A24" w:rsidRPr="00384C6D" w:rsidRDefault="00BE7A24" w:rsidP="00BE7A24">
            <w:pPr>
              <w:jc w:val="center"/>
            </w:pPr>
            <w:r w:rsidRPr="00384C6D">
              <w:t>9.7%</w:t>
            </w:r>
          </w:p>
        </w:tc>
        <w:tc>
          <w:tcPr>
            <w:tcW w:w="1127" w:type="dxa"/>
          </w:tcPr>
          <w:p w:rsidR="00BE7A24" w:rsidRPr="00384C6D" w:rsidRDefault="00BE7A24" w:rsidP="00BE7A24">
            <w:pPr>
              <w:jc w:val="center"/>
            </w:pPr>
            <w:r w:rsidRPr="00384C6D">
              <w:t>-5.8%</w:t>
            </w:r>
          </w:p>
        </w:tc>
        <w:tc>
          <w:tcPr>
            <w:tcW w:w="1127" w:type="dxa"/>
          </w:tcPr>
          <w:p w:rsidR="00BE7A24" w:rsidRPr="00384C6D" w:rsidRDefault="00BE7A24" w:rsidP="00BE7A24">
            <w:pPr>
              <w:jc w:val="center"/>
            </w:pPr>
            <w:r w:rsidRPr="00384C6D">
              <w:t>24.2%</w:t>
            </w:r>
          </w:p>
        </w:tc>
        <w:tc>
          <w:tcPr>
            <w:tcW w:w="1127" w:type="dxa"/>
          </w:tcPr>
          <w:p w:rsidR="00BE7A24" w:rsidRPr="00384C6D" w:rsidRDefault="00BE7A24" w:rsidP="00BE7A24">
            <w:pPr>
              <w:jc w:val="center"/>
            </w:pPr>
            <w:r w:rsidRPr="00384C6D">
              <w:t>-5.9%</w:t>
            </w:r>
          </w:p>
        </w:tc>
        <w:tc>
          <w:tcPr>
            <w:tcW w:w="1127" w:type="dxa"/>
          </w:tcPr>
          <w:p w:rsidR="00BE7A24" w:rsidRPr="00384C6D" w:rsidRDefault="00BE7A24" w:rsidP="00BE7A24">
            <w:pPr>
              <w:jc w:val="center"/>
            </w:pPr>
            <w:r w:rsidRPr="00384C6D">
              <w:t>28.6%</w:t>
            </w:r>
          </w:p>
        </w:tc>
        <w:tc>
          <w:tcPr>
            <w:tcW w:w="1127" w:type="dxa"/>
          </w:tcPr>
          <w:p w:rsidR="00BE7A24" w:rsidRPr="00384C6D" w:rsidRDefault="00BE7A24" w:rsidP="00BE7A24">
            <w:pPr>
              <w:jc w:val="center"/>
            </w:pPr>
            <w:r w:rsidRPr="00384C6D">
              <w:t>2.5%</w:t>
            </w:r>
          </w:p>
        </w:tc>
        <w:tc>
          <w:tcPr>
            <w:tcW w:w="1127" w:type="dxa"/>
          </w:tcPr>
          <w:p w:rsidR="00BE7A24" w:rsidRDefault="00BE7A24" w:rsidP="00BE7A24">
            <w:pPr>
              <w:jc w:val="center"/>
            </w:pPr>
            <w:r w:rsidRPr="00384C6D">
              <w:t>10.3%</w:t>
            </w:r>
          </w:p>
        </w:tc>
      </w:tr>
    </w:tbl>
    <w:p w:rsidR="00BE7A24" w:rsidRDefault="00BE7A24" w:rsidP="00411562">
      <w:pPr>
        <w:spacing w:before="160"/>
      </w:pPr>
      <w:r w:rsidRPr="00BE7A24">
        <w:rPr>
          <w:i/>
        </w:rPr>
        <w:t>Source:</w:t>
      </w:r>
      <w:r>
        <w:t xml:space="preserve"> Companies House.</w:t>
      </w:r>
    </w:p>
    <w:p w:rsidR="00BE7A24" w:rsidRDefault="0074244C" w:rsidP="00D071F6">
      <w:pPr>
        <w:jc w:val="both"/>
      </w:pPr>
      <w:r>
        <w:t>It</w:t>
      </w:r>
      <w:r w:rsidRPr="0074244C">
        <w:t xml:space="preserve"> can be seen that the largest drop in company incorporations is found between 2016 Q2 and 2017 Q</w:t>
      </w:r>
      <w:r>
        <w:t xml:space="preserve">2, during which incorporations at the national level have fallen from </w:t>
      </w:r>
      <w:r w:rsidRPr="0074244C">
        <w:t>172,935</w:t>
      </w:r>
      <w:r>
        <w:t xml:space="preserve"> to </w:t>
      </w:r>
      <w:r w:rsidRPr="0074244C">
        <w:t>152,411</w:t>
      </w:r>
      <w:r>
        <w:t xml:space="preserve"> (-11.9%). Following this drop, </w:t>
      </w:r>
      <w:r w:rsidR="00DE7943">
        <w:t>the change in company incorporations has returned positive in 2018 Q2 and largely in line with values observed throughout the period 2012 Q2-2016 Q2.</w:t>
      </w:r>
    </w:p>
    <w:p w:rsidR="002E6908" w:rsidRPr="00C20927" w:rsidRDefault="002E6908" w:rsidP="002E6908">
      <w:pPr>
        <w:keepNext/>
        <w:rPr>
          <w:b/>
        </w:rPr>
      </w:pPr>
      <w:r w:rsidRPr="00C20927">
        <w:rPr>
          <w:b/>
        </w:rPr>
        <w:t>What lies behind the drop in business births in 2017?</w:t>
      </w:r>
    </w:p>
    <w:p w:rsidR="00C85C6F" w:rsidRDefault="00DE7943" w:rsidP="00D071F6">
      <w:pPr>
        <w:jc w:val="both"/>
      </w:pPr>
      <w:r>
        <w:t xml:space="preserve">Taken together, the results presented above suggest that the decline in newly registered firms that </w:t>
      </w:r>
      <w:r w:rsidR="00DA7591">
        <w:t>was</w:t>
      </w:r>
      <w:r>
        <w:t xml:space="preserve"> found for the Combined Authority </w:t>
      </w:r>
      <w:r w:rsidR="0015343C">
        <w:t>may</w:t>
      </w:r>
      <w:r>
        <w:t xml:space="preserve"> not </w:t>
      </w:r>
      <w:r w:rsidR="0015343C">
        <w:t xml:space="preserve">be </w:t>
      </w:r>
      <w:r w:rsidR="00DA7591">
        <w:t xml:space="preserve">a phenomenon </w:t>
      </w:r>
      <w:r>
        <w:t xml:space="preserve">specific to this area, but </w:t>
      </w:r>
      <w:r w:rsidR="007D3890">
        <w:t>may</w:t>
      </w:r>
      <w:r>
        <w:t xml:space="preserve"> rather </w:t>
      </w:r>
      <w:r w:rsidR="007D3890">
        <w:t xml:space="preserve">be </w:t>
      </w:r>
      <w:r>
        <w:t xml:space="preserve">part of a wider trend </w:t>
      </w:r>
      <w:r w:rsidR="001207BB">
        <w:t xml:space="preserve">in business formations that has characterised the whole </w:t>
      </w:r>
      <w:r w:rsidR="00DA7591">
        <w:t xml:space="preserve">of the </w:t>
      </w:r>
      <w:r w:rsidR="001207BB">
        <w:t>UK</w:t>
      </w:r>
      <w:r>
        <w:t xml:space="preserve">. </w:t>
      </w:r>
      <w:r>
        <w:lastRenderedPageBreak/>
        <w:t xml:space="preserve">Therefore, </w:t>
      </w:r>
      <w:r w:rsidR="00DC69E9">
        <w:t xml:space="preserve">it becomes important to uncover </w:t>
      </w:r>
      <w:r w:rsidR="0015343C">
        <w:t xml:space="preserve">what </w:t>
      </w:r>
      <w:r w:rsidR="00D926CF">
        <w:t>lies</w:t>
      </w:r>
      <w:r w:rsidR="0015343C">
        <w:t xml:space="preserve"> behind</w:t>
      </w:r>
      <w:r w:rsidR="00DC69E9">
        <w:t xml:space="preserve"> the trend in business births </w:t>
      </w:r>
      <w:r w:rsidR="0015343C">
        <w:t xml:space="preserve">observed </w:t>
      </w:r>
      <w:r w:rsidR="00DC69E9">
        <w:t xml:space="preserve">over </w:t>
      </w:r>
      <w:r w:rsidR="0015343C">
        <w:t xml:space="preserve">the </w:t>
      </w:r>
      <w:r w:rsidR="00DC69E9">
        <w:t>recent years.</w:t>
      </w:r>
      <w:r w:rsidR="007D3890">
        <w:t xml:space="preserve"> To this end, it is useful to refer to the analyses on business formations in the UK conducted by Inform Direct and the Centre for Entrepreneurs (CFE).</w:t>
      </w:r>
      <w:r w:rsidR="007D3890">
        <w:rPr>
          <w:rStyle w:val="FootnoteReference"/>
        </w:rPr>
        <w:footnoteReference w:id="3"/>
      </w:r>
      <w:r w:rsidR="00B1306A">
        <w:t xml:space="preserve"> Both </w:t>
      </w:r>
      <w:r w:rsidR="00AA3AB0">
        <w:t xml:space="preserve">of these </w:t>
      </w:r>
      <w:r w:rsidR="00B1306A">
        <w:t>analyses use data drawn primarily from Companies House and find evidence of a drop in business births during 2017. Importantly, the study by the CFE provides data at the local authority district level</w:t>
      </w:r>
      <w:r w:rsidR="00D926CF">
        <w:t>,</w:t>
      </w:r>
      <w:r w:rsidR="00B1306A">
        <w:t xml:space="preserve"> </w:t>
      </w:r>
      <w:r w:rsidR="00D926CF">
        <w:t>which</w:t>
      </w:r>
      <w:r w:rsidR="00B1306A">
        <w:t xml:space="preserve"> show that the number of business formations in the districts making up the Combined Authority has declined significantly between 2016 and 2017 (with Cambridge witnessing a 15.5% decline).</w:t>
      </w:r>
    </w:p>
    <w:p w:rsidR="00DE7943" w:rsidRDefault="00C85C6F" w:rsidP="00D071F6">
      <w:pPr>
        <w:jc w:val="both"/>
      </w:pPr>
      <w:r>
        <w:t>The</w:t>
      </w:r>
      <w:r w:rsidR="00B1306A">
        <w:t xml:space="preserve"> studies </w:t>
      </w:r>
      <w:r>
        <w:t xml:space="preserve">by Inform Direct and the CFE </w:t>
      </w:r>
      <w:r w:rsidR="00D926CF">
        <w:t>advance</w:t>
      </w:r>
      <w:r w:rsidR="00B1306A">
        <w:t xml:space="preserve"> t</w:t>
      </w:r>
      <w:r w:rsidR="00D926CF">
        <w:t>wo main explanations behind the</w:t>
      </w:r>
      <w:r w:rsidR="00B1306A">
        <w:t xml:space="preserve"> drop in business births in 2017:</w:t>
      </w:r>
    </w:p>
    <w:p w:rsidR="00B1306A" w:rsidRDefault="00B1306A" w:rsidP="00B1306A">
      <w:pPr>
        <w:pStyle w:val="ListParagraph"/>
        <w:numPr>
          <w:ilvl w:val="0"/>
          <w:numId w:val="1"/>
        </w:numPr>
        <w:jc w:val="both"/>
      </w:pPr>
      <w:r>
        <w:t>Reduced confidence amongst entrepreneurs</w:t>
      </w:r>
      <w:r w:rsidR="00C85C6F">
        <w:t>;</w:t>
      </w:r>
    </w:p>
    <w:p w:rsidR="00C85C6F" w:rsidRDefault="00C85C6F" w:rsidP="00B1306A">
      <w:pPr>
        <w:pStyle w:val="ListParagraph"/>
        <w:numPr>
          <w:ilvl w:val="0"/>
          <w:numId w:val="1"/>
        </w:numPr>
        <w:jc w:val="both"/>
      </w:pPr>
      <w:r>
        <w:t xml:space="preserve">Government’s clampdown on ‘disguised employment’ in </w:t>
      </w:r>
      <w:r w:rsidR="001B26B3">
        <w:t xml:space="preserve">contractors to </w:t>
      </w:r>
      <w:r>
        <w:t>the public sector</w:t>
      </w:r>
      <w:r w:rsidR="009D7317">
        <w:t xml:space="preserve"> (and its extension to the private sector as a whole)</w:t>
      </w:r>
      <w:r>
        <w:t>.</w:t>
      </w:r>
    </w:p>
    <w:p w:rsidR="00C20927" w:rsidRPr="00C20927" w:rsidRDefault="00C20927" w:rsidP="00C20927">
      <w:pPr>
        <w:keepNext/>
        <w:rPr>
          <w:b/>
          <w:i/>
        </w:rPr>
      </w:pPr>
      <w:r w:rsidRPr="00C20927">
        <w:rPr>
          <w:b/>
          <w:i/>
        </w:rPr>
        <w:t>Reduced confidence amongst entrepreneurs</w:t>
      </w:r>
    </w:p>
    <w:p w:rsidR="00DA7591" w:rsidRDefault="004542E3" w:rsidP="00D071F6">
      <w:pPr>
        <w:jc w:val="both"/>
      </w:pPr>
      <w:r>
        <w:t>According to the analysis by Inform Direct, “</w:t>
      </w:r>
      <w:r w:rsidRPr="004542E3">
        <w:t xml:space="preserve">lower formation numbers may signal reduced confidence amongst entrepreneurs and potential entrepreneurs </w:t>
      </w:r>
      <w:r>
        <w:t xml:space="preserve">– with </w:t>
      </w:r>
      <w:r w:rsidRPr="004542E3">
        <w:t>many would be business owners put off from taking the step of forming a co</w:t>
      </w:r>
      <w:r>
        <w:t xml:space="preserve">mpany to pursue their ambitions”. This view appears to be largely confirmed by the Federation of Small Businesses’ (FSB) </w:t>
      </w:r>
      <w:r w:rsidRPr="004542E3">
        <w:rPr>
          <w:i/>
        </w:rPr>
        <w:t xml:space="preserve">Small Business </w:t>
      </w:r>
      <w:r w:rsidR="003F0531">
        <w:rPr>
          <w:i/>
        </w:rPr>
        <w:t xml:space="preserve">Confidence </w:t>
      </w:r>
      <w:r w:rsidRPr="004542E3">
        <w:rPr>
          <w:i/>
        </w:rPr>
        <w:t>Index</w:t>
      </w:r>
      <w:r>
        <w:t xml:space="preserve">, which </w:t>
      </w:r>
      <w:r w:rsidR="003F0531">
        <w:t>shows</w:t>
      </w:r>
      <w:r>
        <w:t xml:space="preserve"> that confidence among</w:t>
      </w:r>
      <w:r w:rsidR="00D926CF">
        <w:t>st</w:t>
      </w:r>
      <w:r>
        <w:t xml:space="preserve"> </w:t>
      </w:r>
      <w:r w:rsidR="00D926CF">
        <w:t xml:space="preserve">UK </w:t>
      </w:r>
      <w:r>
        <w:t xml:space="preserve">small businesses </w:t>
      </w:r>
      <w:r w:rsidR="000F3AB3">
        <w:t xml:space="preserve">has fallen in </w:t>
      </w:r>
      <w:r w:rsidR="00D926CF">
        <w:t xml:space="preserve">all of </w:t>
      </w:r>
      <w:r w:rsidR="000F3AB3">
        <w:t>the last three quarters of 2017.</w:t>
      </w:r>
      <w:r w:rsidR="000F3AB3">
        <w:rPr>
          <w:rStyle w:val="FootnoteReference"/>
        </w:rPr>
        <w:footnoteReference w:id="4"/>
      </w:r>
      <w:r w:rsidR="000F3AB3">
        <w:t xml:space="preserve"> The trend in </w:t>
      </w:r>
      <w:r w:rsidR="000F3AB3" w:rsidRPr="003D5983">
        <w:t xml:space="preserve">the </w:t>
      </w:r>
      <w:r w:rsidR="003D5983" w:rsidRPr="003D5983">
        <w:t>index</w:t>
      </w:r>
      <w:r w:rsidR="000F3AB3" w:rsidRPr="003D5983">
        <w:t xml:space="preserve"> is presented</w:t>
      </w:r>
      <w:r w:rsidR="000F3AB3">
        <w:t xml:space="preserve"> in Figure 4.</w:t>
      </w:r>
    </w:p>
    <w:p w:rsidR="00E17D22" w:rsidRDefault="00E17D22" w:rsidP="00DE69F7">
      <w:pPr>
        <w:keepNext/>
      </w:pPr>
      <w:r>
        <w:t xml:space="preserve">Figure 4 Small Business </w:t>
      </w:r>
      <w:r w:rsidR="003F0531">
        <w:t xml:space="preserve">Confidence </w:t>
      </w:r>
      <w:r>
        <w:t>Index for the UK</w:t>
      </w:r>
    </w:p>
    <w:p w:rsidR="00D071F6" w:rsidRDefault="00403C2F" w:rsidP="00E17D22">
      <w:r>
        <w:rPr>
          <w:noProof/>
          <w:lang w:eastAsia="en-GB"/>
        </w:rPr>
        <w:drawing>
          <wp:inline distT="0" distB="0" distL="0" distR="0" wp14:anchorId="34B11984" wp14:editId="68BB4A06">
            <wp:extent cx="5731510" cy="299529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995295"/>
                    </a:xfrm>
                    <a:prstGeom prst="rect">
                      <a:avLst/>
                    </a:prstGeom>
                  </pic:spPr>
                </pic:pic>
              </a:graphicData>
            </a:graphic>
          </wp:inline>
        </w:drawing>
      </w:r>
    </w:p>
    <w:p w:rsidR="00E87941" w:rsidRDefault="00E17D22" w:rsidP="00411562">
      <w:r w:rsidRPr="00E17D22">
        <w:rPr>
          <w:i/>
        </w:rPr>
        <w:t>Source:</w:t>
      </w:r>
      <w:r>
        <w:t xml:space="preserve"> FSB.</w:t>
      </w:r>
    </w:p>
    <w:p w:rsidR="00493C00" w:rsidRDefault="00E64CF5" w:rsidP="00E17D22">
      <w:pPr>
        <w:jc w:val="both"/>
      </w:pPr>
      <w:r>
        <w:lastRenderedPageBreak/>
        <w:t xml:space="preserve">The study by Inform Direct </w:t>
      </w:r>
      <w:r w:rsidR="003D54F5">
        <w:t xml:space="preserve">points </w:t>
      </w:r>
      <w:r w:rsidR="00D926CF">
        <w:t xml:space="preserve">specifically </w:t>
      </w:r>
      <w:r w:rsidR="003D54F5">
        <w:t xml:space="preserve">to Brexit as one of the possible reasons </w:t>
      </w:r>
      <w:r w:rsidR="003372E1">
        <w:t>underpinning</w:t>
      </w:r>
      <w:r w:rsidR="003D54F5">
        <w:t xml:space="preserve"> the decline in the number of business births. It is argued that “</w:t>
      </w:r>
      <w:r w:rsidR="003D54F5" w:rsidRPr="003D54F5">
        <w:t xml:space="preserve">the lack of certainty about how trade agreements will look post-Brexit makes it difficult for businesses to plan effectively, especially the many companies that trade with countries within the EU. Many will be waiting to see what the final picture looks like before pursuing </w:t>
      </w:r>
      <w:r w:rsidR="003D54F5">
        <w:t>their next business</w:t>
      </w:r>
      <w:r w:rsidR="00493C00">
        <w:t xml:space="preserve"> opportunity”.</w:t>
      </w:r>
    </w:p>
    <w:p w:rsidR="00237E3B" w:rsidRDefault="003F0531" w:rsidP="00E17D22">
      <w:pPr>
        <w:jc w:val="both"/>
      </w:pPr>
      <w:r>
        <w:t>Despite the decline in business confidence associated with the uncertainty caused by Brexit, the data from Companies House reported above indicate that there has been a pickup in company incorporations in 2018.</w:t>
      </w:r>
      <w:r w:rsidR="00237E3B">
        <w:t xml:space="preserve"> As Table 1 shows, incorporations in the UK have gone up during 2018 Q2 compared with one year earlier, while further increasing in the first quarter of 2019.</w:t>
      </w:r>
    </w:p>
    <w:p w:rsidR="00E17D22" w:rsidRDefault="00590CE2" w:rsidP="00E17D22">
      <w:pPr>
        <w:jc w:val="both"/>
      </w:pPr>
      <w:r w:rsidRPr="00590CE2">
        <w:t xml:space="preserve">The pickup in business births </w:t>
      </w:r>
      <w:r w:rsidR="00D569FA" w:rsidRPr="00590CE2">
        <w:t xml:space="preserve">in 2018 </w:t>
      </w:r>
      <w:r w:rsidRPr="00590CE2">
        <w:t>that is observed at the national level is confirmed by our</w:t>
      </w:r>
      <w:r w:rsidR="00822A80" w:rsidRPr="00590CE2">
        <w:t xml:space="preserve"> </w:t>
      </w:r>
      <w:r w:rsidRPr="00590CE2">
        <w:t>latest</w:t>
      </w:r>
      <w:r w:rsidR="00822A80" w:rsidRPr="00590CE2">
        <w:t xml:space="preserve"> draw of all companies located in the local sub-region.</w:t>
      </w:r>
      <w:r w:rsidRPr="00590CE2">
        <w:t xml:space="preserve"> Although the number of business births in the Cambridgeshire and Peterborough area during 2017-18 has been lower than </w:t>
      </w:r>
      <w:r w:rsidR="00D569FA">
        <w:t xml:space="preserve">in </w:t>
      </w:r>
      <w:r w:rsidRPr="00590CE2">
        <w:t xml:space="preserve">2015-16, the last year covered </w:t>
      </w:r>
      <w:r w:rsidR="00D569FA">
        <w:t>by</w:t>
      </w:r>
      <w:r w:rsidRPr="00590CE2">
        <w:t xml:space="preserve"> our analysis has seen 2,509 companies formed compared with 2,228 one year earlier.</w:t>
      </w:r>
      <w:r w:rsidR="0093391C">
        <w:t xml:space="preserve"> In terms of employment, newly formed businesses have contributed 4,666 employees in 2017-18, up from 4,198 in 2016-17.</w:t>
      </w:r>
    </w:p>
    <w:p w:rsidR="00B152F4" w:rsidRPr="00590CE2" w:rsidRDefault="00B152F4" w:rsidP="00E17D22">
      <w:pPr>
        <w:jc w:val="both"/>
      </w:pPr>
      <w:r>
        <w:t xml:space="preserve">Interestingly, our results </w:t>
      </w:r>
      <w:r w:rsidR="00A56F7C">
        <w:t>also show</w:t>
      </w:r>
      <w:r>
        <w:t xml:space="preserve"> that the number of companies moving out of the area has been increasing over time and has exceeded the number of companies relocating into the area. For example, </w:t>
      </w:r>
      <w:r w:rsidR="00A56F7C">
        <w:t xml:space="preserve">in 2017-18 </w:t>
      </w:r>
      <w:r>
        <w:t>the Combined Authority has lost 368 companies (1,263 employees), while only gaining 109 companies (303 employees). These results might suggest that the area is becoming more expensive, with the cost of premises and labour incentivising companies to move away.</w:t>
      </w:r>
    </w:p>
    <w:p w:rsidR="00F332D3" w:rsidRDefault="00F332D3" w:rsidP="00E17D22">
      <w:pPr>
        <w:jc w:val="both"/>
      </w:pPr>
      <w:r w:rsidRPr="00590CE2">
        <w:t xml:space="preserve">Furthermore, </w:t>
      </w:r>
      <w:r w:rsidR="00814CEC" w:rsidRPr="00590CE2">
        <w:t xml:space="preserve">we did not find any sign of a nationality effect </w:t>
      </w:r>
      <w:r w:rsidR="00010641" w:rsidRPr="00590CE2">
        <w:t>behind</w:t>
      </w:r>
      <w:r w:rsidR="00814CEC" w:rsidRPr="00590CE2">
        <w:t xml:space="preserve"> the </w:t>
      </w:r>
      <w:r w:rsidR="00010641" w:rsidRPr="00590CE2">
        <w:t>change in</w:t>
      </w:r>
      <w:r w:rsidR="00814CEC" w:rsidRPr="00590CE2">
        <w:t xml:space="preserve"> business births in the Combined Authority </w:t>
      </w:r>
      <w:r w:rsidR="00010641" w:rsidRPr="00590CE2">
        <w:t>between</w:t>
      </w:r>
      <w:r w:rsidR="00814CEC" w:rsidRPr="00590CE2">
        <w:t xml:space="preserve"> 201</w:t>
      </w:r>
      <w:r w:rsidR="00010641" w:rsidRPr="00590CE2">
        <w:t>5-16 and 2016-1</w:t>
      </w:r>
      <w:r w:rsidR="00814CEC" w:rsidRPr="00590CE2">
        <w:t>7. O</w:t>
      </w:r>
      <w:r w:rsidRPr="00590CE2">
        <w:t xml:space="preserve">ur data </w:t>
      </w:r>
      <w:r w:rsidR="00A56F7C">
        <w:t>reveal</w:t>
      </w:r>
      <w:r w:rsidRPr="00590CE2">
        <w:t xml:space="preserve"> that the outcome of the Brexit referendum has had </w:t>
      </w:r>
      <w:r w:rsidR="00814CEC" w:rsidRPr="00590CE2">
        <w:t xml:space="preserve">a </w:t>
      </w:r>
      <w:r w:rsidRPr="00590CE2">
        <w:t xml:space="preserve">limited </w:t>
      </w:r>
      <w:r w:rsidR="00814CEC" w:rsidRPr="00590CE2">
        <w:t>impact</w:t>
      </w:r>
      <w:r w:rsidRPr="00590CE2">
        <w:t xml:space="preserve"> on the number of businesses started up by </w:t>
      </w:r>
      <w:r w:rsidR="008872DC" w:rsidRPr="00590CE2">
        <w:t>foreign-</w:t>
      </w:r>
      <w:r w:rsidR="008872DC">
        <w:t>owned companies</w:t>
      </w:r>
      <w:r w:rsidR="00010641">
        <w:t xml:space="preserve"> in the Cambridgeshire and Peterborough area</w:t>
      </w:r>
      <w:r w:rsidR="00814CEC">
        <w:t>, as there is evidence that these businesses have increased in number relative to the previous year.</w:t>
      </w:r>
    </w:p>
    <w:p w:rsidR="00C20927" w:rsidRPr="00C20927" w:rsidRDefault="00C20927" w:rsidP="00C20927">
      <w:pPr>
        <w:keepNext/>
        <w:rPr>
          <w:b/>
          <w:i/>
        </w:rPr>
      </w:pPr>
      <w:r w:rsidRPr="00C20927">
        <w:rPr>
          <w:b/>
          <w:i/>
        </w:rPr>
        <w:t>Government’s clampdown on ‘disguised employment’ in contractors to the public sector</w:t>
      </w:r>
    </w:p>
    <w:p w:rsidR="00822A80" w:rsidRDefault="003372E1" w:rsidP="00907B43">
      <w:pPr>
        <w:jc w:val="both"/>
      </w:pPr>
      <w:r>
        <w:t xml:space="preserve">Alongside the rising uncertainty caused by Brexit, the study by the CFE </w:t>
      </w:r>
      <w:r w:rsidR="00081F4E">
        <w:t>puts forward</w:t>
      </w:r>
      <w:r>
        <w:t xml:space="preserve"> another explanation behind the drop in business formations during 2017. </w:t>
      </w:r>
      <w:r w:rsidR="00046716">
        <w:t xml:space="preserve">In </w:t>
      </w:r>
      <w:r w:rsidR="004C272C">
        <w:t>November 2016</w:t>
      </w:r>
      <w:r w:rsidR="00046716">
        <w:t xml:space="preserve">, the government </w:t>
      </w:r>
      <w:r w:rsidR="004C272C">
        <w:t>approved new</w:t>
      </w:r>
      <w:r w:rsidR="008C27A1">
        <w:t xml:space="preserve"> tax rules for </w:t>
      </w:r>
      <w:r w:rsidR="0014578E">
        <w:t xml:space="preserve">limited company </w:t>
      </w:r>
      <w:r w:rsidR="008C27A1">
        <w:t>contractors working within the public sector, introducing important changes to IR35. Based on the new legislation</w:t>
      </w:r>
      <w:r w:rsidR="00D926CF">
        <w:t xml:space="preserve"> (Finance Act 2017)</w:t>
      </w:r>
      <w:r w:rsidR="008C27A1">
        <w:t>, the responsibility to prove that public sector contractors are working outside of IR35 shifts from the contractors to the public authority, agency or other third party</w:t>
      </w:r>
      <w:r w:rsidR="004440D1">
        <w:t xml:space="preserve"> who are using their services</w:t>
      </w:r>
      <w:r w:rsidR="008C27A1">
        <w:t>. These rules, which became effective from 6</w:t>
      </w:r>
      <w:r w:rsidR="008C27A1" w:rsidRPr="008C27A1">
        <w:rPr>
          <w:vertAlign w:val="superscript"/>
        </w:rPr>
        <w:t>th</w:t>
      </w:r>
      <w:r w:rsidR="008C27A1">
        <w:t xml:space="preserve"> April 2017, are aimed at tackling ‘disguised employment’ in </w:t>
      </w:r>
      <w:r w:rsidR="00411562">
        <w:t xml:space="preserve">contractors to </w:t>
      </w:r>
      <w:r w:rsidR="008C27A1">
        <w:t xml:space="preserve">the public sector by making non-compliance </w:t>
      </w:r>
      <w:r w:rsidR="002B3E2C">
        <w:t>with IR35 harder.</w:t>
      </w:r>
      <w:r w:rsidR="00E572AB">
        <w:t xml:space="preserve"> A consultation on extending these rules to the private sector</w:t>
      </w:r>
      <w:r w:rsidR="006A47E9">
        <w:t xml:space="preserve"> was also </w:t>
      </w:r>
      <w:r w:rsidR="00AF6C4C">
        <w:t>conducted</w:t>
      </w:r>
      <w:r w:rsidR="006A47E9">
        <w:t xml:space="preserve"> by HMRC </w:t>
      </w:r>
      <w:r w:rsidR="00AF6C4C">
        <w:t>between</w:t>
      </w:r>
      <w:r w:rsidR="006A47E9">
        <w:t xml:space="preserve"> May </w:t>
      </w:r>
      <w:r w:rsidR="00AF6C4C">
        <w:t xml:space="preserve">and August </w:t>
      </w:r>
      <w:r w:rsidR="006A47E9">
        <w:t>2018</w:t>
      </w:r>
      <w:r w:rsidR="00E572AB">
        <w:t>.</w:t>
      </w:r>
      <w:r w:rsidR="00E572AB">
        <w:rPr>
          <w:rStyle w:val="FootnoteReference"/>
        </w:rPr>
        <w:footnoteReference w:id="5"/>
      </w:r>
      <w:r w:rsidR="00907B43">
        <w:t xml:space="preserve"> Following the consultation, the government announced at Budget 2018 that the reform will be extended to the private sector from 6</w:t>
      </w:r>
      <w:r w:rsidR="00907B43" w:rsidRPr="008C27A1">
        <w:rPr>
          <w:vertAlign w:val="superscript"/>
        </w:rPr>
        <w:t>th</w:t>
      </w:r>
      <w:r w:rsidR="00907B43">
        <w:t xml:space="preserve"> April 2020. A further consultation</w:t>
      </w:r>
      <w:r w:rsidR="00907B43" w:rsidRPr="00907B43">
        <w:t xml:space="preserve"> </w:t>
      </w:r>
      <w:r w:rsidR="00907B43">
        <w:t xml:space="preserve">on the detailed implementation of this reform, which will inform the draft Finance Bill legislation to be published in Summer 2019, was </w:t>
      </w:r>
      <w:r w:rsidR="00AF6C4C">
        <w:t>launched</w:t>
      </w:r>
      <w:r w:rsidR="00907B43">
        <w:t xml:space="preserve"> in March 2019.</w:t>
      </w:r>
      <w:r w:rsidR="00907B43">
        <w:rPr>
          <w:rStyle w:val="FootnoteReference"/>
        </w:rPr>
        <w:footnoteReference w:id="6"/>
      </w:r>
    </w:p>
    <w:p w:rsidR="002A15C7" w:rsidRDefault="002B3E2C" w:rsidP="00E17D22">
      <w:pPr>
        <w:jc w:val="both"/>
      </w:pPr>
      <w:r>
        <w:lastRenderedPageBreak/>
        <w:t xml:space="preserve">According to the CFE, the tax clampdown on public sector contractors </w:t>
      </w:r>
      <w:r w:rsidR="004440D1">
        <w:t>represents</w:t>
      </w:r>
      <w:r>
        <w:t xml:space="preserve"> the primary driver of the fall in business formations during 2017. For instance, </w:t>
      </w:r>
      <w:r w:rsidR="004440D1">
        <w:t>the results by the CFE</w:t>
      </w:r>
      <w:r>
        <w:t xml:space="preserve"> show that 7,475 new businesses (out of a total of 10,164) formed in Wiltshire during 2016 were registered to an accounting firm that provides payroll solutions to contractors, while only 458 new businesses (out of 3,409) were registered at this address in 2017. Similar drops are found in Wellingborough, Lichfield and Central Bedfordshire, “</w:t>
      </w:r>
      <w:r w:rsidRPr="002B3E2C">
        <w:t>all areas where contractor accounting firms have significantly outnumbered genuine entrepreneurial business formations in recent years</w:t>
      </w:r>
      <w:r w:rsidR="002A15C7">
        <w:t>”.</w:t>
      </w:r>
    </w:p>
    <w:p w:rsidR="002B3E2C" w:rsidRDefault="0014578E" w:rsidP="00E17D22">
      <w:pPr>
        <w:jc w:val="both"/>
      </w:pPr>
      <w:r>
        <w:t xml:space="preserve">Although legal changes affecting </w:t>
      </w:r>
      <w:r w:rsidR="00F575F0">
        <w:t xml:space="preserve">public </w:t>
      </w:r>
      <w:r w:rsidR="00A56F7C">
        <w:t xml:space="preserve">and private </w:t>
      </w:r>
      <w:r w:rsidR="00F575F0">
        <w:t xml:space="preserve">sector </w:t>
      </w:r>
      <w:r>
        <w:t xml:space="preserve">contractors </w:t>
      </w:r>
      <w:r w:rsidR="00F575F0">
        <w:t>might have led to a decline in the number of businesses formed</w:t>
      </w:r>
      <w:r w:rsidR="00E572AB">
        <w:t xml:space="preserve"> (possibly reinforced by the publicity around these legal changes)</w:t>
      </w:r>
      <w:r w:rsidR="00F575F0">
        <w:t xml:space="preserve">, the pickup in company incorporations in 2018 </w:t>
      </w:r>
      <w:r w:rsidR="00945AA4">
        <w:t xml:space="preserve">at </w:t>
      </w:r>
      <w:r w:rsidR="00DB5C55">
        <w:t xml:space="preserve">both the local and national level </w:t>
      </w:r>
      <w:r w:rsidR="00F575F0">
        <w:t xml:space="preserve">suggests that </w:t>
      </w:r>
      <w:r w:rsidR="00237E3B">
        <w:t xml:space="preserve">the impact of the new tax ruling has been less severe than it was feared. </w:t>
      </w:r>
      <w:r w:rsidR="002A15C7">
        <w:t xml:space="preserve">Moreover, </w:t>
      </w:r>
      <w:r w:rsidR="007A67B6">
        <w:t xml:space="preserve">our </w:t>
      </w:r>
      <w:r w:rsidR="00DB5C55">
        <w:t xml:space="preserve">2017 draw </w:t>
      </w:r>
      <w:r w:rsidR="007A67B6">
        <w:t>analysis of</w:t>
      </w:r>
      <w:r w:rsidR="002A15C7">
        <w:t xml:space="preserve"> the sectoral distribution of business births </w:t>
      </w:r>
      <w:r w:rsidR="000D5FD9">
        <w:t>in</w:t>
      </w:r>
      <w:r w:rsidR="002A15C7">
        <w:t xml:space="preserve"> 2015-16 and 2016-17</w:t>
      </w:r>
      <w:r w:rsidR="007A67B6">
        <w:t xml:space="preserve"> show</w:t>
      </w:r>
      <w:r w:rsidR="00945AA4">
        <w:t>ed</w:t>
      </w:r>
      <w:r w:rsidR="007A67B6">
        <w:t xml:space="preserve"> no evidence of the drop in start-ups being driven by </w:t>
      </w:r>
      <w:r w:rsidR="006377DA">
        <w:t>particular</w:t>
      </w:r>
      <w:r w:rsidR="007A67B6">
        <w:t xml:space="preserve"> sectors</w:t>
      </w:r>
      <w:r w:rsidR="00E572AB">
        <w:t xml:space="preserve">, </w:t>
      </w:r>
      <w:r w:rsidR="003D339E">
        <w:t>which is what</w:t>
      </w:r>
      <w:r w:rsidR="007A67B6">
        <w:t xml:space="preserve"> one </w:t>
      </w:r>
      <w:r w:rsidR="000D5FD9">
        <w:t>might</w:t>
      </w:r>
      <w:r w:rsidR="007A67B6">
        <w:t xml:space="preserve"> expect if the government’s clampdown on IR35 were the main factor behind this drop.</w:t>
      </w:r>
      <w:r w:rsidR="000D5FD9">
        <w:rPr>
          <w:rStyle w:val="FootnoteReference"/>
        </w:rPr>
        <w:footnoteReference w:id="7"/>
      </w:r>
      <w:r w:rsidR="007A67B6">
        <w:t xml:space="preserve"> </w:t>
      </w:r>
      <w:r w:rsidR="003D339E">
        <w:t xml:space="preserve">Conversely, </w:t>
      </w:r>
      <w:r w:rsidR="006377DA">
        <w:t>the number of businesses formed in 2016-17 appear</w:t>
      </w:r>
      <w:r w:rsidR="00945AA4">
        <w:t>ed</w:t>
      </w:r>
      <w:r w:rsidR="006377DA">
        <w:t xml:space="preserve"> to have decreased in all sectors, including the knowledge-intensive ones. </w:t>
      </w:r>
      <w:r w:rsidR="00F575F0">
        <w:t xml:space="preserve">To </w:t>
      </w:r>
      <w:r w:rsidR="007A67B6">
        <w:t xml:space="preserve">better </w:t>
      </w:r>
      <w:r w:rsidR="00F575F0">
        <w:t xml:space="preserve">assess the impact that contractors </w:t>
      </w:r>
      <w:r w:rsidR="007D3E71">
        <w:t xml:space="preserve">to the public </w:t>
      </w:r>
      <w:r w:rsidR="00A56F7C">
        <w:t xml:space="preserve">and private </w:t>
      </w:r>
      <w:r w:rsidR="007D3E71">
        <w:t>sector</w:t>
      </w:r>
      <w:r w:rsidR="00A56F7C">
        <w:t>s</w:t>
      </w:r>
      <w:r w:rsidR="007D3E71">
        <w:t xml:space="preserve"> </w:t>
      </w:r>
      <w:r w:rsidR="004440D1">
        <w:t xml:space="preserve">may </w:t>
      </w:r>
      <w:r w:rsidR="00F575F0">
        <w:t>have on business births, we plan to carry out further work on identifying these contractors in the local sub-region.</w:t>
      </w:r>
    </w:p>
    <w:p w:rsidR="00237E3B" w:rsidRPr="007E4F24" w:rsidRDefault="007E4F24" w:rsidP="007E4F24">
      <w:pPr>
        <w:keepNext/>
        <w:rPr>
          <w:b/>
          <w:i/>
        </w:rPr>
      </w:pPr>
      <w:r w:rsidRPr="007E4F24">
        <w:rPr>
          <w:b/>
          <w:i/>
        </w:rPr>
        <w:t>Concluding remarks</w:t>
      </w:r>
    </w:p>
    <w:p w:rsidR="007E4F24" w:rsidRDefault="007E4F24" w:rsidP="00E17D22">
      <w:pPr>
        <w:jc w:val="both"/>
      </w:pPr>
      <w:r>
        <w:t xml:space="preserve">This note has </w:t>
      </w:r>
      <w:r w:rsidR="002304DD">
        <w:t>been concerned</w:t>
      </w:r>
      <w:r>
        <w:t xml:space="preserve"> primarily </w:t>
      </w:r>
      <w:r w:rsidR="002304DD">
        <w:t>with</w:t>
      </w:r>
      <w:r>
        <w:t xml:space="preserve"> the number of businesses formed and dissolved in the Combined Authority and the UK </w:t>
      </w:r>
      <w:r w:rsidR="002304DD">
        <w:t>during</w:t>
      </w:r>
      <w:r>
        <w:t xml:space="preserve"> </w:t>
      </w:r>
      <w:r w:rsidR="006A50D8">
        <w:t xml:space="preserve">the </w:t>
      </w:r>
      <w:r>
        <w:t xml:space="preserve">most recent years. The authors believe that a higher churn rate is a symptom of a more entrepreneurial economy. Therefore, the key question to be </w:t>
      </w:r>
      <w:r w:rsidR="002304DD">
        <w:t>addressed</w:t>
      </w:r>
      <w:r>
        <w:t xml:space="preserve"> is what growth do the successful newly formed companies achieve? To this regard, it is worth noting that </w:t>
      </w:r>
      <w:r w:rsidR="002304DD">
        <w:t>a</w:t>
      </w:r>
      <w:r>
        <w:t xml:space="preserve"> report </w:t>
      </w:r>
      <w:r w:rsidR="001845C9">
        <w:t xml:space="preserve">published recently </w:t>
      </w:r>
      <w:r>
        <w:t xml:space="preserve">by </w:t>
      </w:r>
      <w:r w:rsidR="002304DD">
        <w:t xml:space="preserve">Tech Nation </w:t>
      </w:r>
      <w:r>
        <w:t xml:space="preserve">has </w:t>
      </w:r>
      <w:r w:rsidR="001845C9">
        <w:t>placed</w:t>
      </w:r>
      <w:r w:rsidR="002304DD">
        <w:t xml:space="preserve"> Cambridge second in the UK (a</w:t>
      </w:r>
      <w:r w:rsidR="003B5652">
        <w:t>fter London and a</w:t>
      </w:r>
      <w:r w:rsidR="002304DD">
        <w:t>longside Oxford) in terms of number of $</w:t>
      </w:r>
      <w:r w:rsidR="002304DD" w:rsidRPr="002304DD">
        <w:t>1 billion technology companies</w:t>
      </w:r>
      <w:r w:rsidR="002304DD">
        <w:t xml:space="preserve"> created.</w:t>
      </w:r>
      <w:r w:rsidR="001845C9">
        <w:rPr>
          <w:rStyle w:val="FootnoteReference"/>
        </w:rPr>
        <w:footnoteReference w:id="8"/>
      </w:r>
      <w:r w:rsidR="002304DD">
        <w:t xml:space="preserve"> The report </w:t>
      </w:r>
      <w:r>
        <w:t>identifie</w:t>
      </w:r>
      <w:r w:rsidR="002304DD">
        <w:t>s</w:t>
      </w:r>
      <w:r>
        <w:t xml:space="preserve"> </w:t>
      </w:r>
      <w:r w:rsidR="002304DD">
        <w:t>five</w:t>
      </w:r>
      <w:r>
        <w:t xml:space="preserve"> </w:t>
      </w:r>
      <w:bookmarkStart w:id="0" w:name="_GoBack"/>
      <w:bookmarkEnd w:id="0"/>
      <w:r w:rsidR="002304DD">
        <w:t>Cambridge unicorns (i.e. CSR, Arm, Darktrace, Abcam and Autonomy, to which one may add the London-based BenevolentAI</w:t>
      </w:r>
      <w:r w:rsidR="001845C9">
        <w:t xml:space="preserve"> as it has a research facility on the Babraham Research Campus</w:t>
      </w:r>
      <w:r w:rsidR="002304DD">
        <w:t>)</w:t>
      </w:r>
      <w:r>
        <w:t xml:space="preserve">, out of a total of </w:t>
      </w:r>
      <w:r w:rsidR="001845C9">
        <w:t xml:space="preserve">72 </w:t>
      </w:r>
      <w:r>
        <w:t xml:space="preserve">unicorns </w:t>
      </w:r>
      <w:r w:rsidR="001845C9">
        <w:t>created in the UK until 2019</w:t>
      </w:r>
      <w:r>
        <w:t>.</w:t>
      </w:r>
    </w:p>
    <w:p w:rsidR="00493C00" w:rsidRDefault="00493C00" w:rsidP="00E17D22">
      <w:pPr>
        <w:jc w:val="both"/>
      </w:pPr>
    </w:p>
    <w:p w:rsidR="00493C00" w:rsidRDefault="00493C00" w:rsidP="00E17D22">
      <w:pPr>
        <w:jc w:val="both"/>
      </w:pPr>
      <w:r>
        <w:t>Andy Cosh</w:t>
      </w:r>
    </w:p>
    <w:p w:rsidR="00493C00" w:rsidRDefault="00493C00" w:rsidP="00E17D22">
      <w:pPr>
        <w:jc w:val="both"/>
      </w:pPr>
      <w:r>
        <w:t>Giorgio Caselli</w:t>
      </w:r>
    </w:p>
    <w:p w:rsidR="00493C00" w:rsidRDefault="00493C00" w:rsidP="00E17D22">
      <w:pPr>
        <w:jc w:val="both"/>
      </w:pPr>
      <w:r>
        <w:t>Centre for Business Research</w:t>
      </w:r>
    </w:p>
    <w:p w:rsidR="00493C00" w:rsidRDefault="00DB5C55" w:rsidP="00E17D22">
      <w:pPr>
        <w:jc w:val="both"/>
      </w:pPr>
      <w:r>
        <w:t>June</w:t>
      </w:r>
      <w:r w:rsidR="00493C00">
        <w:t xml:space="preserve"> 201</w:t>
      </w:r>
      <w:r>
        <w:t>9</w:t>
      </w:r>
    </w:p>
    <w:p w:rsidR="000D5FD9" w:rsidRDefault="000D5FD9" w:rsidP="00E17D22">
      <w:pPr>
        <w:jc w:val="both"/>
      </w:pPr>
    </w:p>
    <w:p w:rsidR="000D5FD9" w:rsidRDefault="000D5FD9">
      <w:pPr>
        <w:sectPr w:rsidR="000D5FD9">
          <w:footerReference w:type="default" r:id="rId12"/>
          <w:pgSz w:w="11906" w:h="16838"/>
          <w:pgMar w:top="1440" w:right="1440" w:bottom="1440" w:left="1440" w:header="708" w:footer="708" w:gutter="0"/>
          <w:cols w:space="708"/>
          <w:docGrid w:linePitch="360"/>
        </w:sectPr>
      </w:pPr>
    </w:p>
    <w:p w:rsidR="00493C00" w:rsidRPr="000D5FD9" w:rsidRDefault="000D5FD9" w:rsidP="00411562">
      <w:pPr>
        <w:keepNext/>
        <w:jc w:val="both"/>
        <w:rPr>
          <w:b/>
        </w:rPr>
      </w:pPr>
      <w:r w:rsidRPr="000D5FD9">
        <w:rPr>
          <w:b/>
        </w:rPr>
        <w:lastRenderedPageBreak/>
        <w:t>Appendix A</w:t>
      </w:r>
    </w:p>
    <w:p w:rsidR="000D5FD9" w:rsidRDefault="000D5FD9" w:rsidP="00BB078F">
      <w:pPr>
        <w:keepNext/>
        <w:jc w:val="both"/>
      </w:pPr>
      <w:r>
        <w:t>Table A.1 Business births by sector in the Combined Authority</w:t>
      </w:r>
    </w:p>
    <w:tbl>
      <w:tblPr>
        <w:tblW w:w="14716" w:type="dxa"/>
        <w:tblInd w:w="113" w:type="dxa"/>
        <w:tblLook w:val="04A0" w:firstRow="1" w:lastRow="0" w:firstColumn="1" w:lastColumn="0" w:noHBand="0" w:noVBand="1"/>
      </w:tblPr>
      <w:tblGrid>
        <w:gridCol w:w="3880"/>
        <w:gridCol w:w="1409"/>
        <w:gridCol w:w="1300"/>
        <w:gridCol w:w="1409"/>
        <w:gridCol w:w="1300"/>
        <w:gridCol w:w="1409"/>
        <w:gridCol w:w="1300"/>
        <w:gridCol w:w="1409"/>
        <w:gridCol w:w="1300"/>
      </w:tblGrid>
      <w:tr w:rsidR="000D5FD9" w:rsidRPr="000D5FD9" w:rsidTr="00411562">
        <w:trPr>
          <w:trHeight w:val="20"/>
        </w:trPr>
        <w:tc>
          <w:tcPr>
            <w:tcW w:w="3880" w:type="dxa"/>
            <w:tcBorders>
              <w:top w:val="single" w:sz="4" w:space="0" w:color="auto"/>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 </w:t>
            </w:r>
          </w:p>
        </w:tc>
        <w:tc>
          <w:tcPr>
            <w:tcW w:w="1409" w:type="dxa"/>
            <w:tcBorders>
              <w:top w:val="single" w:sz="4" w:space="0" w:color="auto"/>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 </w:t>
            </w:r>
          </w:p>
        </w:tc>
        <w:tc>
          <w:tcPr>
            <w:tcW w:w="1300" w:type="dxa"/>
            <w:tcBorders>
              <w:top w:val="single" w:sz="4" w:space="0" w:color="auto"/>
              <w:left w:val="nil"/>
              <w:bottom w:val="nil"/>
              <w:right w:val="nil"/>
            </w:tcBorders>
            <w:shd w:val="clear" w:color="auto" w:fill="auto"/>
            <w:noWrap/>
            <w:vAlign w:val="bottom"/>
            <w:hideMark/>
          </w:tcPr>
          <w:p w:rsidR="000D5FD9" w:rsidRPr="000D5FD9" w:rsidRDefault="000D5FD9" w:rsidP="000D5FD9">
            <w:pPr>
              <w:spacing w:after="0" w:line="240" w:lineRule="auto"/>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 </w:t>
            </w:r>
          </w:p>
        </w:tc>
        <w:tc>
          <w:tcPr>
            <w:tcW w:w="1409" w:type="dxa"/>
            <w:tcBorders>
              <w:top w:val="single" w:sz="4" w:space="0" w:color="auto"/>
              <w:left w:val="nil"/>
              <w:bottom w:val="nil"/>
              <w:right w:val="nil"/>
            </w:tcBorders>
            <w:shd w:val="clear" w:color="auto" w:fill="auto"/>
            <w:noWrap/>
            <w:vAlign w:val="bottom"/>
            <w:hideMark/>
          </w:tcPr>
          <w:p w:rsidR="000D5FD9" w:rsidRPr="000D5FD9" w:rsidRDefault="000D5FD9" w:rsidP="000D5FD9">
            <w:pPr>
              <w:spacing w:after="0" w:line="240" w:lineRule="auto"/>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 </w:t>
            </w:r>
          </w:p>
        </w:tc>
        <w:tc>
          <w:tcPr>
            <w:tcW w:w="1300" w:type="dxa"/>
            <w:tcBorders>
              <w:top w:val="single" w:sz="4" w:space="0" w:color="auto"/>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 </w:t>
            </w:r>
          </w:p>
        </w:tc>
        <w:tc>
          <w:tcPr>
            <w:tcW w:w="1409" w:type="dxa"/>
            <w:tcBorders>
              <w:top w:val="single" w:sz="4" w:space="0" w:color="auto"/>
              <w:left w:val="nil"/>
              <w:bottom w:val="nil"/>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300" w:type="dxa"/>
            <w:tcBorders>
              <w:top w:val="single" w:sz="4" w:space="0" w:color="auto"/>
              <w:left w:val="nil"/>
              <w:bottom w:val="nil"/>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409" w:type="dxa"/>
            <w:tcBorders>
              <w:top w:val="single" w:sz="4" w:space="0" w:color="auto"/>
              <w:left w:val="nil"/>
              <w:bottom w:val="nil"/>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300" w:type="dxa"/>
            <w:tcBorders>
              <w:top w:val="single" w:sz="4" w:space="0" w:color="auto"/>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r>
      <w:tr w:rsidR="000D5FD9" w:rsidRPr="000D5FD9" w:rsidTr="00570D03">
        <w:trPr>
          <w:trHeight w:val="227"/>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Companies based on 2017 draw</w:t>
            </w:r>
          </w:p>
        </w:tc>
        <w:tc>
          <w:tcPr>
            <w:tcW w:w="5418" w:type="dxa"/>
            <w:gridSpan w:val="4"/>
            <w:tcBorders>
              <w:top w:val="nil"/>
              <w:left w:val="single" w:sz="4" w:space="0" w:color="auto"/>
              <w:bottom w:val="nil"/>
              <w:right w:val="single" w:sz="4" w:space="0" w:color="000000"/>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2016-17</w:t>
            </w:r>
          </w:p>
        </w:tc>
        <w:tc>
          <w:tcPr>
            <w:tcW w:w="5418" w:type="dxa"/>
            <w:gridSpan w:val="4"/>
            <w:tcBorders>
              <w:top w:val="nil"/>
              <w:left w:val="nil"/>
              <w:bottom w:val="nil"/>
              <w:right w:val="single" w:sz="4" w:space="0" w:color="000000"/>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2015-16</w:t>
            </w:r>
          </w:p>
        </w:tc>
      </w:tr>
      <w:tr w:rsidR="000D5FD9" w:rsidRPr="000D5FD9" w:rsidTr="000D5FD9">
        <w:trPr>
          <w:trHeight w:val="510"/>
        </w:trPr>
        <w:tc>
          <w:tcPr>
            <w:tcW w:w="3880" w:type="dxa"/>
            <w:tcBorders>
              <w:top w:val="nil"/>
              <w:left w:val="single" w:sz="4" w:space="0" w:color="auto"/>
              <w:bottom w:val="nil"/>
              <w:right w:val="single" w:sz="4" w:space="0" w:color="auto"/>
            </w:tcBorders>
            <w:shd w:val="clear" w:color="auto" w:fill="auto"/>
            <w:noWrap/>
            <w:vAlign w:val="center"/>
            <w:hideMark/>
          </w:tcPr>
          <w:p w:rsidR="000D5FD9" w:rsidRPr="000D5FD9" w:rsidRDefault="000D5FD9" w:rsidP="000D5FD9">
            <w:pPr>
              <w:spacing w:after="0" w:line="240" w:lineRule="auto"/>
              <w:jc w:val="center"/>
              <w:rPr>
                <w:rFonts w:ascii="Arial" w:eastAsia="Times New Roman" w:hAnsi="Arial" w:cs="Arial"/>
                <w:b/>
                <w:bCs/>
                <w:color w:val="000000"/>
                <w:sz w:val="20"/>
                <w:szCs w:val="20"/>
                <w:lang w:eastAsia="en-GB"/>
              </w:rPr>
            </w:pPr>
            <w:r w:rsidRPr="000D5FD9">
              <w:rPr>
                <w:rFonts w:ascii="Arial" w:eastAsia="Times New Roman" w:hAnsi="Arial" w:cs="Arial"/>
                <w:b/>
                <w:bCs/>
                <w:color w:val="000000"/>
                <w:sz w:val="20"/>
                <w:szCs w:val="20"/>
                <w:lang w:eastAsia="en-GB"/>
              </w:rPr>
              <w:t>BIRTHS</w:t>
            </w:r>
          </w:p>
        </w:tc>
        <w:tc>
          <w:tcPr>
            <w:tcW w:w="1409" w:type="dxa"/>
            <w:tcBorders>
              <w:top w:val="nil"/>
              <w:left w:val="single" w:sz="4" w:space="0" w:color="auto"/>
              <w:bottom w:val="nil"/>
              <w:right w:val="nil"/>
            </w:tcBorders>
            <w:shd w:val="clear" w:color="auto" w:fill="auto"/>
            <w:vAlign w:val="center"/>
            <w:hideMark/>
          </w:tcPr>
          <w:p w:rsidR="000D5FD9" w:rsidRPr="000D5FD9" w:rsidRDefault="000D5FD9" w:rsidP="000D5FD9">
            <w:pPr>
              <w:spacing w:after="0" w:line="240" w:lineRule="auto"/>
              <w:jc w:val="center"/>
              <w:rPr>
                <w:rFonts w:ascii="Verdana" w:eastAsia="Times New Roman" w:hAnsi="Verdana" w:cs="Arial"/>
                <w:b/>
                <w:bCs/>
                <w:color w:val="000000"/>
                <w:sz w:val="17"/>
                <w:szCs w:val="17"/>
                <w:lang w:eastAsia="en-GB"/>
              </w:rPr>
            </w:pPr>
            <w:r w:rsidRPr="000D5FD9">
              <w:rPr>
                <w:rFonts w:ascii="Verdana" w:eastAsia="Times New Roman" w:hAnsi="Verdana" w:cs="Arial"/>
                <w:b/>
                <w:bCs/>
                <w:color w:val="000000"/>
                <w:sz w:val="17"/>
                <w:szCs w:val="17"/>
                <w:lang w:eastAsia="en-GB"/>
              </w:rPr>
              <w:t>Number of companies</w:t>
            </w:r>
          </w:p>
        </w:tc>
        <w:tc>
          <w:tcPr>
            <w:tcW w:w="1300" w:type="dxa"/>
            <w:tcBorders>
              <w:top w:val="nil"/>
              <w:left w:val="nil"/>
              <w:bottom w:val="nil"/>
              <w:right w:val="nil"/>
            </w:tcBorders>
            <w:shd w:val="clear" w:color="auto" w:fill="auto"/>
            <w:vAlign w:val="center"/>
            <w:hideMark/>
          </w:tcPr>
          <w:p w:rsidR="000D5FD9" w:rsidRPr="000D5FD9" w:rsidRDefault="000D5FD9" w:rsidP="000D5FD9">
            <w:pPr>
              <w:spacing w:after="0" w:line="240" w:lineRule="auto"/>
              <w:jc w:val="center"/>
              <w:rPr>
                <w:rFonts w:ascii="Verdana" w:eastAsia="Times New Roman" w:hAnsi="Verdana" w:cs="Arial"/>
                <w:b/>
                <w:bCs/>
                <w:color w:val="000000"/>
                <w:sz w:val="17"/>
                <w:szCs w:val="17"/>
                <w:lang w:eastAsia="en-GB"/>
              </w:rPr>
            </w:pPr>
            <w:r w:rsidRPr="000D5FD9">
              <w:rPr>
                <w:rFonts w:ascii="Verdana" w:eastAsia="Times New Roman" w:hAnsi="Verdana" w:cs="Arial"/>
                <w:b/>
                <w:bCs/>
                <w:color w:val="000000"/>
                <w:sz w:val="17"/>
                <w:szCs w:val="17"/>
                <w:lang w:eastAsia="en-GB"/>
              </w:rPr>
              <w:t>%</w:t>
            </w:r>
          </w:p>
        </w:tc>
        <w:tc>
          <w:tcPr>
            <w:tcW w:w="1409" w:type="dxa"/>
            <w:tcBorders>
              <w:top w:val="nil"/>
              <w:left w:val="nil"/>
              <w:bottom w:val="nil"/>
              <w:right w:val="nil"/>
            </w:tcBorders>
            <w:shd w:val="clear" w:color="auto" w:fill="auto"/>
            <w:vAlign w:val="center"/>
            <w:hideMark/>
          </w:tcPr>
          <w:p w:rsidR="000D5FD9" w:rsidRPr="000D5FD9" w:rsidRDefault="000D5FD9" w:rsidP="000D5FD9">
            <w:pPr>
              <w:spacing w:after="0" w:line="240" w:lineRule="auto"/>
              <w:jc w:val="center"/>
              <w:rPr>
                <w:rFonts w:ascii="Verdana" w:eastAsia="Times New Roman" w:hAnsi="Verdana" w:cs="Arial"/>
                <w:b/>
                <w:bCs/>
                <w:color w:val="000000"/>
                <w:sz w:val="17"/>
                <w:szCs w:val="17"/>
                <w:lang w:eastAsia="en-GB"/>
              </w:rPr>
            </w:pPr>
            <w:r w:rsidRPr="000D5FD9">
              <w:rPr>
                <w:rFonts w:ascii="Verdana" w:eastAsia="Times New Roman" w:hAnsi="Verdana" w:cs="Arial"/>
                <w:b/>
                <w:bCs/>
                <w:color w:val="000000"/>
                <w:sz w:val="17"/>
                <w:szCs w:val="17"/>
                <w:lang w:eastAsia="en-GB"/>
              </w:rPr>
              <w:t>Total employment</w:t>
            </w:r>
          </w:p>
        </w:tc>
        <w:tc>
          <w:tcPr>
            <w:tcW w:w="1300" w:type="dxa"/>
            <w:tcBorders>
              <w:top w:val="nil"/>
              <w:left w:val="nil"/>
              <w:bottom w:val="nil"/>
              <w:right w:val="single" w:sz="4" w:space="0" w:color="auto"/>
            </w:tcBorders>
            <w:shd w:val="clear" w:color="auto" w:fill="auto"/>
            <w:vAlign w:val="center"/>
            <w:hideMark/>
          </w:tcPr>
          <w:p w:rsidR="000D5FD9" w:rsidRPr="000D5FD9" w:rsidRDefault="000D5FD9" w:rsidP="000D5FD9">
            <w:pPr>
              <w:spacing w:after="0" w:line="240" w:lineRule="auto"/>
              <w:jc w:val="center"/>
              <w:rPr>
                <w:rFonts w:ascii="Verdana" w:eastAsia="Times New Roman" w:hAnsi="Verdana" w:cs="Arial"/>
                <w:b/>
                <w:bCs/>
                <w:color w:val="000000"/>
                <w:sz w:val="17"/>
                <w:szCs w:val="17"/>
                <w:lang w:eastAsia="en-GB"/>
              </w:rPr>
            </w:pPr>
            <w:r w:rsidRPr="000D5FD9">
              <w:rPr>
                <w:rFonts w:ascii="Verdana" w:eastAsia="Times New Roman" w:hAnsi="Verdana" w:cs="Arial"/>
                <w:b/>
                <w:bCs/>
                <w:color w:val="000000"/>
                <w:sz w:val="17"/>
                <w:szCs w:val="17"/>
                <w:lang w:eastAsia="en-GB"/>
              </w:rPr>
              <w:t>%</w:t>
            </w:r>
          </w:p>
        </w:tc>
        <w:tc>
          <w:tcPr>
            <w:tcW w:w="1409" w:type="dxa"/>
            <w:tcBorders>
              <w:top w:val="nil"/>
              <w:left w:val="nil"/>
              <w:bottom w:val="nil"/>
              <w:right w:val="nil"/>
            </w:tcBorders>
            <w:shd w:val="clear" w:color="auto" w:fill="auto"/>
            <w:vAlign w:val="center"/>
            <w:hideMark/>
          </w:tcPr>
          <w:p w:rsidR="000D5FD9" w:rsidRPr="000D5FD9" w:rsidRDefault="000D5FD9" w:rsidP="000D5FD9">
            <w:pPr>
              <w:spacing w:after="0" w:line="240" w:lineRule="auto"/>
              <w:jc w:val="center"/>
              <w:rPr>
                <w:rFonts w:ascii="Verdana" w:eastAsia="Times New Roman" w:hAnsi="Verdana" w:cs="Arial"/>
                <w:b/>
                <w:bCs/>
                <w:color w:val="000000"/>
                <w:sz w:val="17"/>
                <w:szCs w:val="17"/>
                <w:lang w:eastAsia="en-GB"/>
              </w:rPr>
            </w:pPr>
            <w:r w:rsidRPr="000D5FD9">
              <w:rPr>
                <w:rFonts w:ascii="Verdana" w:eastAsia="Times New Roman" w:hAnsi="Verdana" w:cs="Arial"/>
                <w:b/>
                <w:bCs/>
                <w:color w:val="000000"/>
                <w:sz w:val="17"/>
                <w:szCs w:val="17"/>
                <w:lang w:eastAsia="en-GB"/>
              </w:rPr>
              <w:t>Number of companies</w:t>
            </w:r>
          </w:p>
        </w:tc>
        <w:tc>
          <w:tcPr>
            <w:tcW w:w="1300" w:type="dxa"/>
            <w:tcBorders>
              <w:top w:val="nil"/>
              <w:left w:val="nil"/>
              <w:bottom w:val="nil"/>
              <w:right w:val="nil"/>
            </w:tcBorders>
            <w:shd w:val="clear" w:color="auto" w:fill="auto"/>
            <w:vAlign w:val="center"/>
            <w:hideMark/>
          </w:tcPr>
          <w:p w:rsidR="000D5FD9" w:rsidRPr="000D5FD9" w:rsidRDefault="000D5FD9" w:rsidP="000D5FD9">
            <w:pPr>
              <w:spacing w:after="0" w:line="240" w:lineRule="auto"/>
              <w:jc w:val="center"/>
              <w:rPr>
                <w:rFonts w:ascii="Verdana" w:eastAsia="Times New Roman" w:hAnsi="Verdana" w:cs="Arial"/>
                <w:b/>
                <w:bCs/>
                <w:color w:val="000000"/>
                <w:sz w:val="17"/>
                <w:szCs w:val="17"/>
                <w:lang w:eastAsia="en-GB"/>
              </w:rPr>
            </w:pPr>
            <w:r w:rsidRPr="000D5FD9">
              <w:rPr>
                <w:rFonts w:ascii="Verdana" w:eastAsia="Times New Roman" w:hAnsi="Verdana" w:cs="Arial"/>
                <w:b/>
                <w:bCs/>
                <w:color w:val="000000"/>
                <w:sz w:val="17"/>
                <w:szCs w:val="17"/>
                <w:lang w:eastAsia="en-GB"/>
              </w:rPr>
              <w:t>%</w:t>
            </w:r>
          </w:p>
        </w:tc>
        <w:tc>
          <w:tcPr>
            <w:tcW w:w="1409" w:type="dxa"/>
            <w:tcBorders>
              <w:top w:val="nil"/>
              <w:left w:val="nil"/>
              <w:bottom w:val="nil"/>
              <w:right w:val="nil"/>
            </w:tcBorders>
            <w:shd w:val="clear" w:color="auto" w:fill="auto"/>
            <w:vAlign w:val="center"/>
            <w:hideMark/>
          </w:tcPr>
          <w:p w:rsidR="000D5FD9" w:rsidRPr="000D5FD9" w:rsidRDefault="000D5FD9" w:rsidP="000D5FD9">
            <w:pPr>
              <w:spacing w:after="0" w:line="240" w:lineRule="auto"/>
              <w:jc w:val="center"/>
              <w:rPr>
                <w:rFonts w:ascii="Verdana" w:eastAsia="Times New Roman" w:hAnsi="Verdana" w:cs="Arial"/>
                <w:b/>
                <w:bCs/>
                <w:color w:val="000000"/>
                <w:sz w:val="17"/>
                <w:szCs w:val="17"/>
                <w:lang w:eastAsia="en-GB"/>
              </w:rPr>
            </w:pPr>
            <w:r w:rsidRPr="000D5FD9">
              <w:rPr>
                <w:rFonts w:ascii="Verdana" w:eastAsia="Times New Roman" w:hAnsi="Verdana" w:cs="Arial"/>
                <w:b/>
                <w:bCs/>
                <w:color w:val="000000"/>
                <w:sz w:val="17"/>
                <w:szCs w:val="17"/>
                <w:lang w:eastAsia="en-GB"/>
              </w:rPr>
              <w:t>Total employment</w:t>
            </w:r>
          </w:p>
        </w:tc>
        <w:tc>
          <w:tcPr>
            <w:tcW w:w="1300" w:type="dxa"/>
            <w:tcBorders>
              <w:top w:val="nil"/>
              <w:left w:val="nil"/>
              <w:bottom w:val="nil"/>
              <w:right w:val="single" w:sz="4" w:space="0" w:color="auto"/>
            </w:tcBorders>
            <w:shd w:val="clear" w:color="auto" w:fill="auto"/>
            <w:vAlign w:val="center"/>
            <w:hideMark/>
          </w:tcPr>
          <w:p w:rsidR="000D5FD9" w:rsidRPr="000D5FD9" w:rsidRDefault="000D5FD9" w:rsidP="000D5FD9">
            <w:pPr>
              <w:spacing w:after="0" w:line="240" w:lineRule="auto"/>
              <w:jc w:val="center"/>
              <w:rPr>
                <w:rFonts w:ascii="Verdana" w:eastAsia="Times New Roman" w:hAnsi="Verdana" w:cs="Arial"/>
                <w:b/>
                <w:bCs/>
                <w:color w:val="000000"/>
                <w:sz w:val="17"/>
                <w:szCs w:val="17"/>
                <w:lang w:eastAsia="en-GB"/>
              </w:rPr>
            </w:pPr>
            <w:r w:rsidRPr="000D5FD9">
              <w:rPr>
                <w:rFonts w:ascii="Verdana" w:eastAsia="Times New Roman" w:hAnsi="Verdana" w:cs="Arial"/>
                <w:b/>
                <w:bCs/>
                <w:color w:val="000000"/>
                <w:sz w:val="17"/>
                <w:szCs w:val="17"/>
                <w:lang w:eastAsia="en-GB"/>
              </w:rPr>
              <w:t>%</w:t>
            </w:r>
          </w:p>
        </w:tc>
      </w:tr>
      <w:tr w:rsidR="000D5FD9" w:rsidRPr="000D5FD9" w:rsidTr="000D5FD9">
        <w:trPr>
          <w:trHeight w:val="300"/>
        </w:trPr>
        <w:tc>
          <w:tcPr>
            <w:tcW w:w="3880" w:type="dxa"/>
            <w:tcBorders>
              <w:top w:val="single" w:sz="4" w:space="0" w:color="auto"/>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b/>
                <w:bCs/>
                <w:color w:val="000000"/>
                <w:sz w:val="20"/>
                <w:szCs w:val="20"/>
                <w:lang w:eastAsia="en-GB"/>
              </w:rPr>
            </w:pPr>
            <w:r w:rsidRPr="000D5FD9">
              <w:rPr>
                <w:rFonts w:ascii="Arial" w:eastAsia="Times New Roman" w:hAnsi="Arial" w:cs="Arial"/>
                <w:b/>
                <w:bCs/>
                <w:color w:val="000000"/>
                <w:sz w:val="20"/>
                <w:szCs w:val="20"/>
                <w:lang w:eastAsia="en-GB"/>
              </w:rPr>
              <w:t>KNOWLEDGE INTENSIVE SECTORS</w:t>
            </w:r>
          </w:p>
        </w:tc>
        <w:tc>
          <w:tcPr>
            <w:tcW w:w="1409" w:type="dxa"/>
            <w:tcBorders>
              <w:top w:val="single" w:sz="4" w:space="0" w:color="auto"/>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b/>
                <w:bCs/>
                <w:color w:val="000000"/>
                <w:sz w:val="20"/>
                <w:szCs w:val="20"/>
                <w:lang w:eastAsia="en-GB"/>
              </w:rPr>
            </w:pPr>
            <w:r w:rsidRPr="000D5FD9">
              <w:rPr>
                <w:rFonts w:ascii="Arial" w:eastAsia="Times New Roman" w:hAnsi="Arial" w:cs="Arial"/>
                <w:b/>
                <w:bCs/>
                <w:color w:val="000000"/>
                <w:sz w:val="20"/>
                <w:szCs w:val="20"/>
                <w:lang w:eastAsia="en-GB"/>
              </w:rPr>
              <w:t> </w:t>
            </w:r>
          </w:p>
        </w:tc>
        <w:tc>
          <w:tcPr>
            <w:tcW w:w="1300" w:type="dxa"/>
            <w:tcBorders>
              <w:top w:val="single" w:sz="4" w:space="0" w:color="auto"/>
              <w:left w:val="nil"/>
              <w:bottom w:val="nil"/>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b/>
                <w:bCs/>
                <w:color w:val="000000"/>
                <w:sz w:val="20"/>
                <w:szCs w:val="20"/>
                <w:lang w:eastAsia="en-GB"/>
              </w:rPr>
            </w:pPr>
            <w:r w:rsidRPr="000D5FD9">
              <w:rPr>
                <w:rFonts w:ascii="Arial" w:eastAsia="Times New Roman" w:hAnsi="Arial" w:cs="Arial"/>
                <w:b/>
                <w:bCs/>
                <w:color w:val="000000"/>
                <w:sz w:val="20"/>
                <w:szCs w:val="20"/>
                <w:lang w:eastAsia="en-GB"/>
              </w:rPr>
              <w:t> </w:t>
            </w:r>
          </w:p>
        </w:tc>
        <w:tc>
          <w:tcPr>
            <w:tcW w:w="1409" w:type="dxa"/>
            <w:tcBorders>
              <w:top w:val="single" w:sz="4" w:space="0" w:color="auto"/>
              <w:left w:val="nil"/>
              <w:bottom w:val="nil"/>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b/>
                <w:bCs/>
                <w:color w:val="000000"/>
                <w:sz w:val="20"/>
                <w:szCs w:val="20"/>
                <w:lang w:eastAsia="en-GB"/>
              </w:rPr>
            </w:pPr>
            <w:r w:rsidRPr="000D5FD9">
              <w:rPr>
                <w:rFonts w:ascii="Arial" w:eastAsia="Times New Roman" w:hAnsi="Arial" w:cs="Arial"/>
                <w:b/>
                <w:bCs/>
                <w:color w:val="000000"/>
                <w:sz w:val="20"/>
                <w:szCs w:val="20"/>
                <w:lang w:eastAsia="en-GB"/>
              </w:rPr>
              <w:t> </w:t>
            </w:r>
          </w:p>
        </w:tc>
        <w:tc>
          <w:tcPr>
            <w:tcW w:w="1300" w:type="dxa"/>
            <w:tcBorders>
              <w:top w:val="single" w:sz="4" w:space="0" w:color="auto"/>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b/>
                <w:bCs/>
                <w:color w:val="000000"/>
                <w:sz w:val="20"/>
                <w:szCs w:val="20"/>
                <w:lang w:eastAsia="en-GB"/>
              </w:rPr>
            </w:pPr>
            <w:r w:rsidRPr="000D5FD9">
              <w:rPr>
                <w:rFonts w:ascii="Arial" w:eastAsia="Times New Roman" w:hAnsi="Arial" w:cs="Arial"/>
                <w:b/>
                <w:bCs/>
                <w:color w:val="000000"/>
                <w:sz w:val="20"/>
                <w:szCs w:val="20"/>
                <w:lang w:eastAsia="en-GB"/>
              </w:rPr>
              <w:t> </w:t>
            </w:r>
          </w:p>
        </w:tc>
        <w:tc>
          <w:tcPr>
            <w:tcW w:w="1409" w:type="dxa"/>
            <w:tcBorders>
              <w:top w:val="single" w:sz="4" w:space="0" w:color="auto"/>
              <w:left w:val="nil"/>
              <w:bottom w:val="nil"/>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300" w:type="dxa"/>
            <w:tcBorders>
              <w:top w:val="single" w:sz="4" w:space="0" w:color="auto"/>
              <w:left w:val="nil"/>
              <w:bottom w:val="nil"/>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409" w:type="dxa"/>
            <w:tcBorders>
              <w:top w:val="single" w:sz="4" w:space="0" w:color="auto"/>
              <w:left w:val="nil"/>
              <w:bottom w:val="nil"/>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300" w:type="dxa"/>
            <w:tcBorders>
              <w:top w:val="single" w:sz="4" w:space="0" w:color="auto"/>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r>
      <w:tr w:rsidR="000D5FD9" w:rsidRPr="000D5FD9" w:rsidTr="000D5FD9">
        <w:trPr>
          <w:trHeight w:val="30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Verdana" w:eastAsia="Times New Roman" w:hAnsi="Verdana" w:cs="Arial"/>
                <w:color w:val="000000"/>
                <w:sz w:val="18"/>
                <w:szCs w:val="18"/>
                <w:lang w:eastAsia="en-GB"/>
              </w:rPr>
            </w:pPr>
            <w:r w:rsidRPr="000D5FD9">
              <w:rPr>
                <w:rFonts w:ascii="Verdana" w:eastAsia="Times New Roman" w:hAnsi="Verdana" w:cs="Arial"/>
                <w:color w:val="000000"/>
                <w:sz w:val="18"/>
                <w:szCs w:val="18"/>
                <w:lang w:eastAsia="en-GB"/>
              </w:rPr>
              <w:t>Information Technology and Telecoms</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204</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12.1%</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287</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8.7%</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347</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10.7%</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610</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10.2%</w:t>
            </w:r>
          </w:p>
        </w:tc>
      </w:tr>
      <w:tr w:rsidR="000D5FD9" w:rsidRPr="000D5FD9" w:rsidTr="000D5FD9">
        <w:trPr>
          <w:trHeight w:val="30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Verdana" w:eastAsia="Times New Roman" w:hAnsi="Verdana" w:cs="Arial"/>
                <w:color w:val="000000"/>
                <w:sz w:val="18"/>
                <w:szCs w:val="18"/>
                <w:lang w:eastAsia="en-GB"/>
              </w:rPr>
            </w:pPr>
            <w:r w:rsidRPr="000D5FD9">
              <w:rPr>
                <w:rFonts w:ascii="Verdana" w:eastAsia="Times New Roman" w:hAnsi="Verdana" w:cs="Arial"/>
                <w:color w:val="000000"/>
                <w:sz w:val="18"/>
                <w:szCs w:val="18"/>
                <w:lang w:eastAsia="en-GB"/>
              </w:rPr>
              <w:t>Life science and healthcare</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23</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1.4%</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105</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3.2%</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64</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2.0%</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216</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3.6%</w:t>
            </w:r>
          </w:p>
        </w:tc>
      </w:tr>
      <w:tr w:rsidR="000D5FD9" w:rsidRPr="000D5FD9" w:rsidTr="000D5FD9">
        <w:trPr>
          <w:trHeight w:val="30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Verdana" w:eastAsia="Times New Roman" w:hAnsi="Verdana" w:cs="Arial"/>
                <w:sz w:val="18"/>
                <w:szCs w:val="18"/>
                <w:lang w:eastAsia="en-GB"/>
              </w:rPr>
            </w:pPr>
            <w:r w:rsidRPr="000D5FD9">
              <w:rPr>
                <w:rFonts w:ascii="Verdana" w:eastAsia="Times New Roman" w:hAnsi="Verdana" w:cs="Arial"/>
                <w:sz w:val="18"/>
                <w:szCs w:val="18"/>
                <w:lang w:eastAsia="en-GB"/>
              </w:rPr>
              <w:t>High-tech manufacturing</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55</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3.3%</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80</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2.4%</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78</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2.4%</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106</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1.8%</w:t>
            </w:r>
          </w:p>
        </w:tc>
      </w:tr>
      <w:tr w:rsidR="000D5FD9" w:rsidRPr="000D5FD9" w:rsidTr="000D5FD9">
        <w:trPr>
          <w:trHeight w:val="30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Verdana" w:eastAsia="Times New Roman" w:hAnsi="Verdana" w:cs="Arial"/>
                <w:color w:val="000000"/>
                <w:sz w:val="18"/>
                <w:szCs w:val="18"/>
                <w:lang w:eastAsia="en-GB"/>
              </w:rPr>
            </w:pPr>
            <w:r w:rsidRPr="000D5FD9">
              <w:rPr>
                <w:rFonts w:ascii="Verdana" w:eastAsia="Times New Roman" w:hAnsi="Verdana" w:cs="Arial"/>
                <w:color w:val="000000"/>
                <w:sz w:val="18"/>
                <w:szCs w:val="18"/>
                <w:lang w:eastAsia="en-GB"/>
              </w:rPr>
              <w:t>Knowledge intensive services</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21</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1.2%</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26</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0.8%</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36</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1.1%</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47</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0.8%</w:t>
            </w:r>
          </w:p>
        </w:tc>
      </w:tr>
      <w:tr w:rsidR="000D5FD9" w:rsidRPr="000D5FD9" w:rsidTr="00411562">
        <w:trPr>
          <w:trHeight w:val="2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r>
      <w:tr w:rsidR="000D5FD9" w:rsidRPr="000D5FD9" w:rsidTr="000D5FD9">
        <w:trPr>
          <w:trHeight w:val="30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b/>
                <w:bCs/>
                <w:color w:val="000000"/>
                <w:sz w:val="20"/>
                <w:szCs w:val="20"/>
                <w:lang w:eastAsia="en-GB"/>
              </w:rPr>
            </w:pPr>
            <w:r w:rsidRPr="000D5FD9">
              <w:rPr>
                <w:rFonts w:ascii="Arial" w:eastAsia="Times New Roman" w:hAnsi="Arial" w:cs="Arial"/>
                <w:b/>
                <w:bCs/>
                <w:color w:val="000000"/>
                <w:sz w:val="20"/>
                <w:szCs w:val="20"/>
                <w:lang w:eastAsia="en-GB"/>
              </w:rPr>
              <w:t>TOTAL KI SECTORS</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303</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18.0%</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498</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15.1%</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525</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16.2%</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979</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16.4%</w:t>
            </w:r>
          </w:p>
        </w:tc>
      </w:tr>
      <w:tr w:rsidR="000D5FD9" w:rsidRPr="000D5FD9" w:rsidTr="00411562">
        <w:trPr>
          <w:trHeight w:val="2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409" w:type="dxa"/>
            <w:tcBorders>
              <w:top w:val="nil"/>
              <w:left w:val="single" w:sz="4" w:space="0" w:color="auto"/>
              <w:bottom w:val="single" w:sz="4" w:space="0" w:color="auto"/>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300" w:type="dxa"/>
            <w:tcBorders>
              <w:top w:val="nil"/>
              <w:left w:val="nil"/>
              <w:bottom w:val="single" w:sz="4" w:space="0" w:color="auto"/>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409" w:type="dxa"/>
            <w:tcBorders>
              <w:top w:val="nil"/>
              <w:left w:val="nil"/>
              <w:bottom w:val="single" w:sz="4" w:space="0" w:color="auto"/>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409" w:type="dxa"/>
            <w:tcBorders>
              <w:top w:val="nil"/>
              <w:left w:val="nil"/>
              <w:bottom w:val="single" w:sz="4" w:space="0" w:color="auto"/>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300" w:type="dxa"/>
            <w:tcBorders>
              <w:top w:val="nil"/>
              <w:left w:val="nil"/>
              <w:bottom w:val="single" w:sz="4" w:space="0" w:color="auto"/>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409" w:type="dxa"/>
            <w:tcBorders>
              <w:top w:val="nil"/>
              <w:left w:val="nil"/>
              <w:bottom w:val="single" w:sz="4" w:space="0" w:color="auto"/>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r>
      <w:tr w:rsidR="000D5FD9" w:rsidRPr="000D5FD9" w:rsidTr="000D5FD9">
        <w:trPr>
          <w:trHeight w:val="30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b/>
                <w:bCs/>
                <w:color w:val="000000"/>
                <w:sz w:val="20"/>
                <w:szCs w:val="20"/>
                <w:lang w:eastAsia="en-GB"/>
              </w:rPr>
            </w:pPr>
            <w:r w:rsidRPr="000D5FD9">
              <w:rPr>
                <w:rFonts w:ascii="Arial" w:eastAsia="Times New Roman" w:hAnsi="Arial" w:cs="Arial"/>
                <w:b/>
                <w:bCs/>
                <w:color w:val="000000"/>
                <w:sz w:val="20"/>
                <w:szCs w:val="20"/>
                <w:lang w:eastAsia="en-GB"/>
              </w:rPr>
              <w:t>OTHER SECTORS</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 </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 </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 </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 </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 </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 </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 </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 </w:t>
            </w:r>
          </w:p>
        </w:tc>
      </w:tr>
      <w:tr w:rsidR="000D5FD9" w:rsidRPr="000D5FD9" w:rsidTr="000D5FD9">
        <w:trPr>
          <w:trHeight w:val="30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Verdana" w:eastAsia="Times New Roman" w:hAnsi="Verdana" w:cs="Arial"/>
                <w:color w:val="000000"/>
                <w:sz w:val="18"/>
                <w:szCs w:val="18"/>
                <w:lang w:eastAsia="en-GB"/>
              </w:rPr>
            </w:pPr>
            <w:r w:rsidRPr="000D5FD9">
              <w:rPr>
                <w:rFonts w:ascii="Verdana" w:eastAsia="Times New Roman" w:hAnsi="Verdana" w:cs="Arial"/>
                <w:color w:val="000000"/>
                <w:sz w:val="18"/>
                <w:szCs w:val="18"/>
                <w:lang w:eastAsia="en-GB"/>
              </w:rPr>
              <w:t>Primary</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29</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1.7%</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86</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2.6%</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42</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1.3%</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177</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3.0%</w:t>
            </w:r>
          </w:p>
        </w:tc>
      </w:tr>
      <w:tr w:rsidR="000D5FD9" w:rsidRPr="000D5FD9" w:rsidTr="000D5FD9">
        <w:trPr>
          <w:trHeight w:val="30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Verdana" w:eastAsia="Times New Roman" w:hAnsi="Verdana" w:cs="Arial"/>
                <w:color w:val="000000"/>
                <w:sz w:val="18"/>
                <w:szCs w:val="18"/>
                <w:lang w:eastAsia="en-GB"/>
              </w:rPr>
            </w:pPr>
            <w:r w:rsidRPr="000D5FD9">
              <w:rPr>
                <w:rFonts w:ascii="Verdana" w:eastAsia="Times New Roman" w:hAnsi="Verdana" w:cs="Arial"/>
                <w:color w:val="000000"/>
                <w:sz w:val="18"/>
                <w:szCs w:val="18"/>
                <w:lang w:eastAsia="en-GB"/>
              </w:rPr>
              <w:t>Manufacturing</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42</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2.5%</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124</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3.8%</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128</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3.9%</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212</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3.6%</w:t>
            </w:r>
          </w:p>
        </w:tc>
      </w:tr>
      <w:tr w:rsidR="000D5FD9" w:rsidRPr="000D5FD9" w:rsidTr="000D5FD9">
        <w:trPr>
          <w:trHeight w:val="30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Verdana" w:eastAsia="Times New Roman" w:hAnsi="Verdana" w:cs="Arial"/>
                <w:color w:val="000000"/>
                <w:sz w:val="18"/>
                <w:szCs w:val="18"/>
                <w:lang w:eastAsia="en-GB"/>
              </w:rPr>
            </w:pPr>
            <w:r w:rsidRPr="000D5FD9">
              <w:rPr>
                <w:rFonts w:ascii="Verdana" w:eastAsia="Times New Roman" w:hAnsi="Verdana" w:cs="Arial"/>
                <w:color w:val="000000"/>
                <w:sz w:val="18"/>
                <w:szCs w:val="18"/>
                <w:lang w:eastAsia="en-GB"/>
              </w:rPr>
              <w:t>Wholesale and retail distribution</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170</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10.1%</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441</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13.4%</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310</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9.6%</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560</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9.4%</w:t>
            </w:r>
          </w:p>
        </w:tc>
      </w:tr>
      <w:tr w:rsidR="000D5FD9" w:rsidRPr="000D5FD9" w:rsidTr="000D5FD9">
        <w:trPr>
          <w:trHeight w:val="30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Verdana" w:eastAsia="Times New Roman" w:hAnsi="Verdana" w:cs="Arial"/>
                <w:color w:val="000000"/>
                <w:sz w:val="18"/>
                <w:szCs w:val="18"/>
                <w:lang w:eastAsia="en-GB"/>
              </w:rPr>
            </w:pPr>
            <w:r w:rsidRPr="000D5FD9">
              <w:rPr>
                <w:rFonts w:ascii="Verdana" w:eastAsia="Times New Roman" w:hAnsi="Verdana" w:cs="Arial"/>
                <w:color w:val="000000"/>
                <w:sz w:val="18"/>
                <w:szCs w:val="18"/>
                <w:lang w:eastAsia="en-GB"/>
              </w:rPr>
              <w:t>Construction and utilities</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222</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13.2%</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297</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9.0%</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354</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10.9%</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499</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8.4%</w:t>
            </w:r>
          </w:p>
        </w:tc>
      </w:tr>
      <w:tr w:rsidR="000D5FD9" w:rsidRPr="000D5FD9" w:rsidTr="000D5FD9">
        <w:trPr>
          <w:trHeight w:val="30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Verdana" w:eastAsia="Times New Roman" w:hAnsi="Verdana" w:cs="Arial"/>
                <w:color w:val="000000"/>
                <w:sz w:val="18"/>
                <w:szCs w:val="18"/>
                <w:lang w:eastAsia="en-GB"/>
              </w:rPr>
            </w:pPr>
            <w:r w:rsidRPr="000D5FD9">
              <w:rPr>
                <w:rFonts w:ascii="Verdana" w:eastAsia="Times New Roman" w:hAnsi="Verdana" w:cs="Arial"/>
                <w:color w:val="000000"/>
                <w:sz w:val="18"/>
                <w:szCs w:val="18"/>
                <w:lang w:eastAsia="en-GB"/>
              </w:rPr>
              <w:t>Transport and travel</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71</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4.2%</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79</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2.4%</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281</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8.7%</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303</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5.1%</w:t>
            </w:r>
          </w:p>
        </w:tc>
      </w:tr>
      <w:tr w:rsidR="000D5FD9" w:rsidRPr="000D5FD9" w:rsidTr="000D5FD9">
        <w:trPr>
          <w:trHeight w:val="30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Verdana" w:eastAsia="Times New Roman" w:hAnsi="Verdana" w:cs="Arial"/>
                <w:color w:val="000000"/>
                <w:sz w:val="18"/>
                <w:szCs w:val="18"/>
                <w:lang w:eastAsia="en-GB"/>
              </w:rPr>
            </w:pPr>
            <w:r w:rsidRPr="000D5FD9">
              <w:rPr>
                <w:rFonts w:ascii="Verdana" w:eastAsia="Times New Roman" w:hAnsi="Verdana" w:cs="Arial"/>
                <w:color w:val="000000"/>
                <w:sz w:val="18"/>
                <w:szCs w:val="18"/>
                <w:lang w:eastAsia="en-GB"/>
              </w:rPr>
              <w:t>Property and finance</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209</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12.4%</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374</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11.4%</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266</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8.2%</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515</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8.6%</w:t>
            </w:r>
          </w:p>
        </w:tc>
      </w:tr>
      <w:tr w:rsidR="000D5FD9" w:rsidRPr="000D5FD9" w:rsidTr="000D5FD9">
        <w:trPr>
          <w:trHeight w:val="30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Verdana" w:eastAsia="Times New Roman" w:hAnsi="Verdana" w:cs="Arial"/>
                <w:color w:val="000000"/>
                <w:sz w:val="18"/>
                <w:szCs w:val="18"/>
                <w:lang w:eastAsia="en-GB"/>
              </w:rPr>
            </w:pPr>
            <w:r w:rsidRPr="000D5FD9">
              <w:rPr>
                <w:rFonts w:ascii="Verdana" w:eastAsia="Times New Roman" w:hAnsi="Verdana" w:cs="Arial"/>
                <w:color w:val="000000"/>
                <w:sz w:val="18"/>
                <w:szCs w:val="18"/>
                <w:lang w:eastAsia="en-GB"/>
              </w:rPr>
              <w:t>Other business services</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323</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19.2%</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666</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20.3%</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596</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18.4%</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989</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16.6%</w:t>
            </w:r>
          </w:p>
        </w:tc>
      </w:tr>
      <w:tr w:rsidR="000D5FD9" w:rsidRPr="000D5FD9" w:rsidTr="000D5FD9">
        <w:trPr>
          <w:trHeight w:val="30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Verdana" w:eastAsia="Times New Roman" w:hAnsi="Verdana" w:cs="Arial"/>
                <w:color w:val="000000"/>
                <w:sz w:val="18"/>
                <w:szCs w:val="18"/>
                <w:lang w:eastAsia="en-GB"/>
              </w:rPr>
            </w:pPr>
            <w:r w:rsidRPr="000D5FD9">
              <w:rPr>
                <w:rFonts w:ascii="Verdana" w:eastAsia="Times New Roman" w:hAnsi="Verdana" w:cs="Arial"/>
                <w:color w:val="000000"/>
                <w:sz w:val="18"/>
                <w:szCs w:val="18"/>
                <w:lang w:eastAsia="en-GB"/>
              </w:rPr>
              <w:t>Other services</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251</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14.9%</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452</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13.7%</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602</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18.5%</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1,145</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19.2%</w:t>
            </w:r>
          </w:p>
        </w:tc>
      </w:tr>
      <w:tr w:rsidR="000D5FD9" w:rsidRPr="000D5FD9" w:rsidTr="000D5FD9">
        <w:trPr>
          <w:trHeight w:val="30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Verdana" w:eastAsia="Times New Roman" w:hAnsi="Verdana" w:cs="Arial"/>
                <w:color w:val="000000"/>
                <w:sz w:val="18"/>
                <w:szCs w:val="18"/>
                <w:lang w:eastAsia="en-GB"/>
              </w:rPr>
            </w:pPr>
            <w:r w:rsidRPr="000D5FD9">
              <w:rPr>
                <w:rFonts w:ascii="Verdana" w:eastAsia="Times New Roman" w:hAnsi="Verdana" w:cs="Arial"/>
                <w:color w:val="000000"/>
                <w:sz w:val="18"/>
                <w:szCs w:val="18"/>
                <w:lang w:eastAsia="en-GB"/>
              </w:rPr>
              <w:t>Education, arts, charities, social care</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62</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3.7%</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271</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8.2%</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142</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4.4%</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ind w:firstLineChars="100" w:firstLine="220"/>
              <w:jc w:val="right"/>
              <w:rPr>
                <w:rFonts w:ascii="Calibri" w:eastAsia="Times New Roman" w:hAnsi="Calibri" w:cs="Calibri"/>
                <w:color w:val="000000"/>
                <w:lang w:eastAsia="en-GB"/>
              </w:rPr>
            </w:pPr>
            <w:r w:rsidRPr="000D5FD9">
              <w:rPr>
                <w:rFonts w:ascii="Calibri" w:eastAsia="Times New Roman" w:hAnsi="Calibri" w:cs="Calibri"/>
                <w:color w:val="000000"/>
                <w:lang w:eastAsia="en-GB"/>
              </w:rPr>
              <w:t>590</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color w:val="000000"/>
                <w:lang w:eastAsia="en-GB"/>
              </w:rPr>
            </w:pPr>
            <w:r w:rsidRPr="000D5FD9">
              <w:rPr>
                <w:rFonts w:ascii="Calibri" w:eastAsia="Times New Roman" w:hAnsi="Calibri" w:cs="Calibri"/>
                <w:color w:val="000000"/>
                <w:lang w:eastAsia="en-GB"/>
              </w:rPr>
              <w:t>9.9%</w:t>
            </w:r>
          </w:p>
        </w:tc>
      </w:tr>
      <w:tr w:rsidR="000D5FD9" w:rsidRPr="000D5FD9" w:rsidTr="00411562">
        <w:trPr>
          <w:trHeight w:val="2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r>
      <w:tr w:rsidR="000D5FD9" w:rsidRPr="000D5FD9" w:rsidTr="000D5FD9">
        <w:trPr>
          <w:trHeight w:val="30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b/>
                <w:bCs/>
                <w:color w:val="000000"/>
                <w:sz w:val="20"/>
                <w:szCs w:val="20"/>
                <w:lang w:eastAsia="en-GB"/>
              </w:rPr>
            </w:pPr>
            <w:r w:rsidRPr="000D5FD9">
              <w:rPr>
                <w:rFonts w:ascii="Arial" w:eastAsia="Times New Roman" w:hAnsi="Arial" w:cs="Arial"/>
                <w:b/>
                <w:bCs/>
                <w:color w:val="000000"/>
                <w:sz w:val="20"/>
                <w:szCs w:val="20"/>
                <w:lang w:eastAsia="en-GB"/>
              </w:rPr>
              <w:t>TOTAL NON-KI SECTORS</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1,379</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82.0%</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2,790</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84.9%</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2,721</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83.8%</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4,990</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83.6%</w:t>
            </w:r>
          </w:p>
        </w:tc>
      </w:tr>
      <w:tr w:rsidR="000D5FD9" w:rsidRPr="000D5FD9" w:rsidTr="00411562">
        <w:trPr>
          <w:trHeight w:val="2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409" w:type="dxa"/>
            <w:tcBorders>
              <w:top w:val="nil"/>
              <w:left w:val="single" w:sz="4" w:space="0" w:color="auto"/>
              <w:bottom w:val="single" w:sz="4" w:space="0" w:color="auto"/>
              <w:right w:val="nil"/>
            </w:tcBorders>
            <w:shd w:val="clear" w:color="auto" w:fill="auto"/>
            <w:noWrap/>
            <w:vAlign w:val="bottom"/>
            <w:hideMark/>
          </w:tcPr>
          <w:p w:rsidR="000D5FD9" w:rsidRPr="000D5FD9" w:rsidRDefault="000D5FD9" w:rsidP="000D5FD9">
            <w:pPr>
              <w:spacing w:after="0" w:line="240" w:lineRule="auto"/>
              <w:jc w:val="right"/>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300" w:type="dxa"/>
            <w:tcBorders>
              <w:top w:val="nil"/>
              <w:left w:val="nil"/>
              <w:bottom w:val="single" w:sz="4" w:space="0" w:color="auto"/>
              <w:right w:val="nil"/>
            </w:tcBorders>
            <w:shd w:val="clear" w:color="auto" w:fill="auto"/>
            <w:noWrap/>
            <w:vAlign w:val="bottom"/>
            <w:hideMark/>
          </w:tcPr>
          <w:p w:rsidR="000D5FD9" w:rsidRPr="000D5FD9" w:rsidRDefault="000D5FD9" w:rsidP="000D5FD9">
            <w:pPr>
              <w:spacing w:after="0" w:line="240" w:lineRule="auto"/>
              <w:jc w:val="right"/>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409" w:type="dxa"/>
            <w:tcBorders>
              <w:top w:val="nil"/>
              <w:left w:val="nil"/>
              <w:bottom w:val="single" w:sz="4" w:space="0" w:color="auto"/>
              <w:right w:val="nil"/>
            </w:tcBorders>
            <w:shd w:val="clear" w:color="auto" w:fill="auto"/>
            <w:noWrap/>
            <w:vAlign w:val="bottom"/>
            <w:hideMark/>
          </w:tcPr>
          <w:p w:rsidR="000D5FD9" w:rsidRPr="000D5FD9" w:rsidRDefault="000D5FD9" w:rsidP="000D5FD9">
            <w:pPr>
              <w:spacing w:after="0" w:line="240" w:lineRule="auto"/>
              <w:jc w:val="right"/>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rsidR="000D5FD9" w:rsidRPr="000D5FD9" w:rsidRDefault="000D5FD9" w:rsidP="000D5FD9">
            <w:pPr>
              <w:spacing w:after="0" w:line="240" w:lineRule="auto"/>
              <w:jc w:val="right"/>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409" w:type="dxa"/>
            <w:tcBorders>
              <w:top w:val="nil"/>
              <w:left w:val="nil"/>
              <w:bottom w:val="single" w:sz="4" w:space="0" w:color="auto"/>
              <w:right w:val="nil"/>
            </w:tcBorders>
            <w:shd w:val="clear" w:color="auto" w:fill="auto"/>
            <w:noWrap/>
            <w:vAlign w:val="bottom"/>
            <w:hideMark/>
          </w:tcPr>
          <w:p w:rsidR="000D5FD9" w:rsidRPr="000D5FD9" w:rsidRDefault="000D5FD9" w:rsidP="000D5FD9">
            <w:pPr>
              <w:spacing w:after="0" w:line="240" w:lineRule="auto"/>
              <w:jc w:val="right"/>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300" w:type="dxa"/>
            <w:tcBorders>
              <w:top w:val="nil"/>
              <w:left w:val="nil"/>
              <w:bottom w:val="single" w:sz="4" w:space="0" w:color="auto"/>
              <w:right w:val="nil"/>
            </w:tcBorders>
            <w:shd w:val="clear" w:color="auto" w:fill="auto"/>
            <w:noWrap/>
            <w:vAlign w:val="bottom"/>
            <w:hideMark/>
          </w:tcPr>
          <w:p w:rsidR="000D5FD9" w:rsidRPr="000D5FD9" w:rsidRDefault="000D5FD9" w:rsidP="000D5FD9">
            <w:pPr>
              <w:spacing w:after="0" w:line="240" w:lineRule="auto"/>
              <w:jc w:val="right"/>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409" w:type="dxa"/>
            <w:tcBorders>
              <w:top w:val="nil"/>
              <w:left w:val="nil"/>
              <w:bottom w:val="single" w:sz="4" w:space="0" w:color="auto"/>
              <w:right w:val="nil"/>
            </w:tcBorders>
            <w:shd w:val="clear" w:color="auto" w:fill="auto"/>
            <w:noWrap/>
            <w:vAlign w:val="bottom"/>
            <w:hideMark/>
          </w:tcPr>
          <w:p w:rsidR="000D5FD9" w:rsidRPr="000D5FD9" w:rsidRDefault="000D5FD9" w:rsidP="000D5FD9">
            <w:pPr>
              <w:spacing w:after="0" w:line="240" w:lineRule="auto"/>
              <w:jc w:val="right"/>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rsidR="000D5FD9" w:rsidRPr="000D5FD9" w:rsidRDefault="000D5FD9" w:rsidP="000D5FD9">
            <w:pPr>
              <w:spacing w:after="0" w:line="240" w:lineRule="auto"/>
              <w:jc w:val="right"/>
              <w:rPr>
                <w:rFonts w:ascii="Arial" w:eastAsia="Times New Roman" w:hAnsi="Arial" w:cs="Arial"/>
                <w:color w:val="000000"/>
                <w:sz w:val="20"/>
                <w:szCs w:val="20"/>
                <w:lang w:eastAsia="en-GB"/>
              </w:rPr>
            </w:pPr>
            <w:r w:rsidRPr="000D5FD9">
              <w:rPr>
                <w:rFonts w:ascii="Arial" w:eastAsia="Times New Roman" w:hAnsi="Arial" w:cs="Arial"/>
                <w:color w:val="000000"/>
                <w:sz w:val="20"/>
                <w:szCs w:val="20"/>
                <w:lang w:eastAsia="en-GB"/>
              </w:rPr>
              <w:t> </w:t>
            </w:r>
          </w:p>
        </w:tc>
      </w:tr>
      <w:tr w:rsidR="000D5FD9" w:rsidRPr="000D5FD9" w:rsidTr="000D5FD9">
        <w:trPr>
          <w:trHeight w:val="300"/>
        </w:trPr>
        <w:tc>
          <w:tcPr>
            <w:tcW w:w="3880" w:type="dxa"/>
            <w:tcBorders>
              <w:top w:val="nil"/>
              <w:left w:val="single" w:sz="4" w:space="0" w:color="auto"/>
              <w:bottom w:val="nil"/>
              <w:right w:val="single" w:sz="4" w:space="0" w:color="auto"/>
            </w:tcBorders>
            <w:shd w:val="clear" w:color="auto" w:fill="auto"/>
            <w:noWrap/>
            <w:vAlign w:val="bottom"/>
            <w:hideMark/>
          </w:tcPr>
          <w:p w:rsidR="000D5FD9" w:rsidRPr="000D5FD9" w:rsidRDefault="000D5FD9" w:rsidP="000D5FD9">
            <w:pPr>
              <w:spacing w:after="0" w:line="240" w:lineRule="auto"/>
              <w:rPr>
                <w:rFonts w:ascii="Arial" w:eastAsia="Times New Roman" w:hAnsi="Arial" w:cs="Arial"/>
                <w:b/>
                <w:bCs/>
                <w:color w:val="000000"/>
                <w:sz w:val="20"/>
                <w:szCs w:val="20"/>
                <w:lang w:eastAsia="en-GB"/>
              </w:rPr>
            </w:pPr>
            <w:r w:rsidRPr="000D5FD9">
              <w:rPr>
                <w:rFonts w:ascii="Arial" w:eastAsia="Times New Roman" w:hAnsi="Arial" w:cs="Arial"/>
                <w:b/>
                <w:bCs/>
                <w:color w:val="000000"/>
                <w:sz w:val="20"/>
                <w:szCs w:val="20"/>
                <w:lang w:eastAsia="en-GB"/>
              </w:rPr>
              <w:t>TOTAL ALL SECTORS</w:t>
            </w:r>
          </w:p>
        </w:tc>
        <w:tc>
          <w:tcPr>
            <w:tcW w:w="1409" w:type="dxa"/>
            <w:tcBorders>
              <w:top w:val="nil"/>
              <w:left w:val="single" w:sz="4" w:space="0" w:color="auto"/>
              <w:bottom w:val="nil"/>
              <w:right w:val="nil"/>
            </w:tcBorders>
            <w:shd w:val="clear" w:color="auto" w:fill="auto"/>
            <w:noWrap/>
            <w:vAlign w:val="bottom"/>
            <w:hideMark/>
          </w:tcPr>
          <w:p w:rsidR="000D5FD9" w:rsidRPr="000D5FD9" w:rsidRDefault="000D5FD9" w:rsidP="000D5FD9">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1,682</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100.0%</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3,288</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100.0%</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3,246</w:t>
            </w:r>
          </w:p>
        </w:tc>
        <w:tc>
          <w:tcPr>
            <w:tcW w:w="1300"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100.0%</w:t>
            </w:r>
          </w:p>
        </w:tc>
        <w:tc>
          <w:tcPr>
            <w:tcW w:w="1409" w:type="dxa"/>
            <w:tcBorders>
              <w:top w:val="nil"/>
              <w:left w:val="nil"/>
              <w:bottom w:val="nil"/>
              <w:right w:val="nil"/>
            </w:tcBorders>
            <w:shd w:val="clear" w:color="auto" w:fill="auto"/>
            <w:noWrap/>
            <w:vAlign w:val="bottom"/>
            <w:hideMark/>
          </w:tcPr>
          <w:p w:rsidR="000D5FD9" w:rsidRPr="000D5FD9" w:rsidRDefault="000D5FD9" w:rsidP="000D5FD9">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5,969</w:t>
            </w:r>
          </w:p>
        </w:tc>
        <w:tc>
          <w:tcPr>
            <w:tcW w:w="1300" w:type="dxa"/>
            <w:tcBorders>
              <w:top w:val="nil"/>
              <w:left w:val="nil"/>
              <w:bottom w:val="nil"/>
              <w:right w:val="single" w:sz="4" w:space="0" w:color="auto"/>
            </w:tcBorders>
            <w:shd w:val="clear" w:color="auto" w:fill="auto"/>
            <w:noWrap/>
            <w:vAlign w:val="bottom"/>
            <w:hideMark/>
          </w:tcPr>
          <w:p w:rsidR="000D5FD9" w:rsidRPr="000D5FD9" w:rsidRDefault="000D5FD9" w:rsidP="000D5FD9">
            <w:pPr>
              <w:spacing w:after="0" w:line="240" w:lineRule="auto"/>
              <w:jc w:val="center"/>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100.0%</w:t>
            </w:r>
          </w:p>
        </w:tc>
      </w:tr>
      <w:tr w:rsidR="000D5FD9" w:rsidRPr="000D5FD9" w:rsidTr="00411562">
        <w:trPr>
          <w:trHeight w:val="2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0D5FD9" w:rsidRPr="000D5FD9" w:rsidRDefault="000D5FD9" w:rsidP="00570D03">
            <w:pPr>
              <w:spacing w:after="0" w:line="240" w:lineRule="auto"/>
              <w:rPr>
                <w:rFonts w:ascii="Arial" w:eastAsia="Times New Roman" w:hAnsi="Arial" w:cs="Arial"/>
                <w:b/>
                <w:bCs/>
                <w:color w:val="000000"/>
                <w:sz w:val="20"/>
                <w:szCs w:val="20"/>
                <w:lang w:eastAsia="en-GB"/>
              </w:rPr>
            </w:pPr>
            <w:r w:rsidRPr="000D5FD9">
              <w:rPr>
                <w:rFonts w:ascii="Arial" w:eastAsia="Times New Roman" w:hAnsi="Arial" w:cs="Arial"/>
                <w:b/>
                <w:bCs/>
                <w:color w:val="000000"/>
                <w:sz w:val="20"/>
                <w:szCs w:val="20"/>
                <w:lang w:eastAsia="en-GB"/>
              </w:rPr>
              <w:t> </w:t>
            </w:r>
          </w:p>
        </w:tc>
        <w:tc>
          <w:tcPr>
            <w:tcW w:w="1409" w:type="dxa"/>
            <w:tcBorders>
              <w:top w:val="nil"/>
              <w:left w:val="single" w:sz="4" w:space="0" w:color="auto"/>
              <w:bottom w:val="single" w:sz="4" w:space="0" w:color="auto"/>
              <w:right w:val="nil"/>
            </w:tcBorders>
            <w:shd w:val="clear" w:color="auto" w:fill="auto"/>
            <w:noWrap/>
            <w:vAlign w:val="bottom"/>
            <w:hideMark/>
          </w:tcPr>
          <w:p w:rsidR="000D5FD9" w:rsidRPr="000D5FD9" w:rsidRDefault="000D5FD9" w:rsidP="00570D03">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 </w:t>
            </w:r>
          </w:p>
        </w:tc>
        <w:tc>
          <w:tcPr>
            <w:tcW w:w="1300" w:type="dxa"/>
            <w:tcBorders>
              <w:top w:val="nil"/>
              <w:left w:val="nil"/>
              <w:bottom w:val="single" w:sz="4" w:space="0" w:color="auto"/>
              <w:right w:val="nil"/>
            </w:tcBorders>
            <w:shd w:val="clear" w:color="auto" w:fill="auto"/>
            <w:noWrap/>
            <w:vAlign w:val="bottom"/>
            <w:hideMark/>
          </w:tcPr>
          <w:p w:rsidR="000D5FD9" w:rsidRPr="000D5FD9" w:rsidRDefault="000D5FD9" w:rsidP="00570D03">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 </w:t>
            </w:r>
          </w:p>
        </w:tc>
        <w:tc>
          <w:tcPr>
            <w:tcW w:w="1409" w:type="dxa"/>
            <w:tcBorders>
              <w:top w:val="nil"/>
              <w:left w:val="nil"/>
              <w:bottom w:val="single" w:sz="4" w:space="0" w:color="auto"/>
              <w:right w:val="nil"/>
            </w:tcBorders>
            <w:shd w:val="clear" w:color="auto" w:fill="auto"/>
            <w:noWrap/>
            <w:vAlign w:val="bottom"/>
            <w:hideMark/>
          </w:tcPr>
          <w:p w:rsidR="000D5FD9" w:rsidRPr="000D5FD9" w:rsidRDefault="000D5FD9" w:rsidP="00570D03">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rsidR="000D5FD9" w:rsidRPr="000D5FD9" w:rsidRDefault="000D5FD9" w:rsidP="00570D03">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 </w:t>
            </w:r>
          </w:p>
        </w:tc>
        <w:tc>
          <w:tcPr>
            <w:tcW w:w="1409" w:type="dxa"/>
            <w:tcBorders>
              <w:top w:val="nil"/>
              <w:left w:val="nil"/>
              <w:bottom w:val="single" w:sz="4" w:space="0" w:color="auto"/>
              <w:right w:val="nil"/>
            </w:tcBorders>
            <w:shd w:val="clear" w:color="auto" w:fill="auto"/>
            <w:noWrap/>
            <w:vAlign w:val="bottom"/>
            <w:hideMark/>
          </w:tcPr>
          <w:p w:rsidR="000D5FD9" w:rsidRPr="000D5FD9" w:rsidRDefault="000D5FD9" w:rsidP="00570D03">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 </w:t>
            </w:r>
          </w:p>
        </w:tc>
        <w:tc>
          <w:tcPr>
            <w:tcW w:w="1300" w:type="dxa"/>
            <w:tcBorders>
              <w:top w:val="nil"/>
              <w:left w:val="nil"/>
              <w:bottom w:val="single" w:sz="4" w:space="0" w:color="auto"/>
              <w:right w:val="nil"/>
            </w:tcBorders>
            <w:shd w:val="clear" w:color="auto" w:fill="auto"/>
            <w:noWrap/>
            <w:vAlign w:val="bottom"/>
            <w:hideMark/>
          </w:tcPr>
          <w:p w:rsidR="000D5FD9" w:rsidRPr="000D5FD9" w:rsidRDefault="000D5FD9" w:rsidP="00570D03">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 </w:t>
            </w:r>
          </w:p>
        </w:tc>
        <w:tc>
          <w:tcPr>
            <w:tcW w:w="1409" w:type="dxa"/>
            <w:tcBorders>
              <w:top w:val="nil"/>
              <w:left w:val="nil"/>
              <w:bottom w:val="single" w:sz="4" w:space="0" w:color="auto"/>
              <w:right w:val="nil"/>
            </w:tcBorders>
            <w:shd w:val="clear" w:color="auto" w:fill="auto"/>
            <w:noWrap/>
            <w:vAlign w:val="bottom"/>
            <w:hideMark/>
          </w:tcPr>
          <w:p w:rsidR="000D5FD9" w:rsidRPr="000D5FD9" w:rsidRDefault="000D5FD9" w:rsidP="00570D03">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rsidR="000D5FD9" w:rsidRPr="000D5FD9" w:rsidRDefault="000D5FD9" w:rsidP="00570D03">
            <w:pPr>
              <w:spacing w:after="0" w:line="240" w:lineRule="auto"/>
              <w:jc w:val="right"/>
              <w:rPr>
                <w:rFonts w:ascii="Calibri" w:eastAsia="Times New Roman" w:hAnsi="Calibri" w:cs="Calibri"/>
                <w:b/>
                <w:bCs/>
                <w:color w:val="000000"/>
                <w:lang w:eastAsia="en-GB"/>
              </w:rPr>
            </w:pPr>
            <w:r w:rsidRPr="000D5FD9">
              <w:rPr>
                <w:rFonts w:ascii="Calibri" w:eastAsia="Times New Roman" w:hAnsi="Calibri" w:cs="Calibri"/>
                <w:b/>
                <w:bCs/>
                <w:color w:val="000000"/>
                <w:lang w:eastAsia="en-GB"/>
              </w:rPr>
              <w:t> </w:t>
            </w:r>
          </w:p>
        </w:tc>
      </w:tr>
    </w:tbl>
    <w:p w:rsidR="000D5FD9" w:rsidRDefault="00411562" w:rsidP="007D3E71">
      <w:pPr>
        <w:spacing w:before="160" w:after="0"/>
        <w:jc w:val="both"/>
      </w:pPr>
      <w:r w:rsidRPr="00673655">
        <w:rPr>
          <w:i/>
        </w:rPr>
        <w:t>Source:</w:t>
      </w:r>
      <w:r>
        <w:t xml:space="preserve"> CBR.</w:t>
      </w:r>
    </w:p>
    <w:sectPr w:rsidR="000D5FD9" w:rsidSect="000D5F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0EE" w:rsidRDefault="002610EE" w:rsidP="00BE391F">
      <w:pPr>
        <w:spacing w:after="0" w:line="240" w:lineRule="auto"/>
      </w:pPr>
      <w:r>
        <w:separator/>
      </w:r>
    </w:p>
  </w:endnote>
  <w:endnote w:type="continuationSeparator" w:id="0">
    <w:p w:rsidR="002610EE" w:rsidRDefault="002610EE" w:rsidP="00BE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865767"/>
      <w:docPartObj>
        <w:docPartGallery w:val="Page Numbers (Bottom of Page)"/>
        <w:docPartUnique/>
      </w:docPartObj>
    </w:sdtPr>
    <w:sdtEndPr>
      <w:rPr>
        <w:noProof/>
      </w:rPr>
    </w:sdtEndPr>
    <w:sdtContent>
      <w:p w:rsidR="00594F2F" w:rsidRDefault="00594F2F">
        <w:pPr>
          <w:pStyle w:val="Footer"/>
          <w:jc w:val="center"/>
        </w:pPr>
        <w:r>
          <w:fldChar w:fldCharType="begin"/>
        </w:r>
        <w:r>
          <w:instrText xml:space="preserve"> PAGE   \* MERGEFORMAT </w:instrText>
        </w:r>
        <w:r>
          <w:fldChar w:fldCharType="separate"/>
        </w:r>
        <w:r w:rsidR="003B5652">
          <w:rPr>
            <w:noProof/>
          </w:rPr>
          <w:t>6</w:t>
        </w:r>
        <w:r>
          <w:rPr>
            <w:noProof/>
          </w:rPr>
          <w:fldChar w:fldCharType="end"/>
        </w:r>
      </w:p>
    </w:sdtContent>
  </w:sdt>
  <w:p w:rsidR="00594F2F" w:rsidRDefault="00594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0EE" w:rsidRDefault="002610EE" w:rsidP="00BE391F">
      <w:pPr>
        <w:spacing w:after="0" w:line="240" w:lineRule="auto"/>
      </w:pPr>
      <w:r>
        <w:separator/>
      </w:r>
    </w:p>
  </w:footnote>
  <w:footnote w:type="continuationSeparator" w:id="0">
    <w:p w:rsidR="002610EE" w:rsidRDefault="002610EE" w:rsidP="00BE391F">
      <w:pPr>
        <w:spacing w:after="0" w:line="240" w:lineRule="auto"/>
      </w:pPr>
      <w:r>
        <w:continuationSeparator/>
      </w:r>
    </w:p>
  </w:footnote>
  <w:footnote w:id="1">
    <w:p w:rsidR="00BE391F" w:rsidRDefault="00BE391F" w:rsidP="001845C9">
      <w:pPr>
        <w:pStyle w:val="FootnoteText"/>
        <w:jc w:val="both"/>
      </w:pPr>
      <w:r>
        <w:rPr>
          <w:rStyle w:val="FootnoteReference"/>
        </w:rPr>
        <w:footnoteRef/>
      </w:r>
      <w:r>
        <w:t xml:space="preserve"> The full analysis is presented in the note titled </w:t>
      </w:r>
      <w:r w:rsidRPr="00BE391F">
        <w:rPr>
          <w:i/>
        </w:rPr>
        <w:t>Business Demography and Growth Composition Analysis</w:t>
      </w:r>
      <w:r>
        <w:t xml:space="preserve"> that was released in June 2018.</w:t>
      </w:r>
    </w:p>
  </w:footnote>
  <w:footnote w:id="2">
    <w:p w:rsidR="00DE69F7" w:rsidRPr="00332B44" w:rsidRDefault="00DE69F7" w:rsidP="001845C9">
      <w:pPr>
        <w:pStyle w:val="FootnoteText"/>
        <w:jc w:val="both"/>
      </w:pPr>
      <w:r>
        <w:rPr>
          <w:rStyle w:val="FootnoteReference"/>
        </w:rPr>
        <w:footnoteRef/>
      </w:r>
      <w:r>
        <w:t xml:space="preserve"> The latest data on incorporated companies in the UK that were published by Companies House are available </w:t>
      </w:r>
      <w:r w:rsidRPr="00332B44">
        <w:t>at the following link:</w:t>
      </w:r>
    </w:p>
    <w:p w:rsidR="00DE69F7" w:rsidRDefault="002610EE" w:rsidP="001845C9">
      <w:pPr>
        <w:pStyle w:val="FootnoteText"/>
        <w:jc w:val="both"/>
      </w:pPr>
      <w:hyperlink r:id="rId1" w:history="1">
        <w:r w:rsidR="001D4AC9" w:rsidRPr="00332B44">
          <w:rPr>
            <w:rStyle w:val="Hyperlink"/>
          </w:rPr>
          <w:t>https://www.gov.uk/government/publications/incorporated-companies-in-the-uk-january-to-march-2019/incorporated-companies-in-the-uk-january-to-march-2019</w:t>
        </w:r>
      </w:hyperlink>
      <w:r w:rsidR="00DE69F7" w:rsidRPr="00332B44">
        <w:t>.</w:t>
      </w:r>
    </w:p>
  </w:footnote>
  <w:footnote w:id="3">
    <w:p w:rsidR="007D3890" w:rsidRDefault="007D3890" w:rsidP="001845C9">
      <w:pPr>
        <w:pStyle w:val="FootnoteText"/>
        <w:jc w:val="both"/>
      </w:pPr>
      <w:r>
        <w:rPr>
          <w:rStyle w:val="FootnoteReference"/>
        </w:rPr>
        <w:footnoteRef/>
      </w:r>
      <w:r>
        <w:t xml:space="preserve"> The analysis produced by Inform Direct is available at the link below:</w:t>
      </w:r>
    </w:p>
    <w:p w:rsidR="007D3890" w:rsidRDefault="002610EE" w:rsidP="001845C9">
      <w:pPr>
        <w:pStyle w:val="FootnoteText"/>
        <w:jc w:val="both"/>
      </w:pPr>
      <w:hyperlink r:id="rId2" w:history="1">
        <w:r w:rsidR="007D3890" w:rsidRPr="002E07A5">
          <w:rPr>
            <w:rStyle w:val="Hyperlink"/>
          </w:rPr>
          <w:t>https://www.informdirect.co.uk/company-formations-2017/</w:t>
        </w:r>
      </w:hyperlink>
      <w:r w:rsidR="007D3890">
        <w:t>.</w:t>
      </w:r>
    </w:p>
    <w:p w:rsidR="007D3890" w:rsidRDefault="007D3890" w:rsidP="001845C9">
      <w:pPr>
        <w:pStyle w:val="FootnoteText"/>
        <w:jc w:val="both"/>
      </w:pPr>
      <w:r>
        <w:t>The data prepared by the CFE can be downloaded at the following link:</w:t>
      </w:r>
    </w:p>
    <w:p w:rsidR="007D3890" w:rsidRDefault="002610EE" w:rsidP="001845C9">
      <w:pPr>
        <w:pStyle w:val="FootnoteText"/>
        <w:jc w:val="both"/>
      </w:pPr>
      <w:hyperlink r:id="rId3" w:history="1">
        <w:r w:rsidR="007D3890" w:rsidRPr="002E07A5">
          <w:rPr>
            <w:rStyle w:val="Hyperlink"/>
          </w:rPr>
          <w:t>https://centreforentrepreneurs.org/cfe-releases/business-formations-fall-tax-clampdown/</w:t>
        </w:r>
      </w:hyperlink>
      <w:r w:rsidR="007D3890">
        <w:t>.</w:t>
      </w:r>
    </w:p>
  </w:footnote>
  <w:footnote w:id="4">
    <w:p w:rsidR="000F3AB3" w:rsidRDefault="000F3AB3" w:rsidP="001845C9">
      <w:pPr>
        <w:pStyle w:val="FootnoteText"/>
        <w:jc w:val="both"/>
      </w:pPr>
      <w:r>
        <w:rPr>
          <w:rStyle w:val="FootnoteReference"/>
        </w:rPr>
        <w:footnoteRef/>
      </w:r>
      <w:r>
        <w:t xml:space="preserve"> The latest report published by the FSB can be accessed via the link below:</w:t>
      </w:r>
    </w:p>
    <w:p w:rsidR="000F3AB3" w:rsidRDefault="002610EE" w:rsidP="001845C9">
      <w:pPr>
        <w:pStyle w:val="FootnoteText"/>
        <w:jc w:val="both"/>
      </w:pPr>
      <w:hyperlink r:id="rId4" w:history="1">
        <w:r w:rsidR="00590CE2" w:rsidRPr="008414E3">
          <w:rPr>
            <w:rStyle w:val="Hyperlink"/>
          </w:rPr>
          <w:t>https://www.fsb.org.uk/docs/default-source/fsb-org-uk/fsb-sbi-q1-2019-final.pdf?sfvrsn=0</w:t>
        </w:r>
      </w:hyperlink>
      <w:r w:rsidR="000F3AB3">
        <w:t>.</w:t>
      </w:r>
    </w:p>
  </w:footnote>
  <w:footnote w:id="5">
    <w:p w:rsidR="00E572AB" w:rsidRDefault="00E572AB" w:rsidP="001845C9">
      <w:pPr>
        <w:pStyle w:val="FootnoteText"/>
        <w:jc w:val="both"/>
      </w:pPr>
      <w:r>
        <w:rPr>
          <w:rStyle w:val="FootnoteReference"/>
        </w:rPr>
        <w:footnoteRef/>
      </w:r>
      <w:r>
        <w:t xml:space="preserve"> The consultation document is available at the following link:</w:t>
      </w:r>
    </w:p>
    <w:p w:rsidR="00E572AB" w:rsidRDefault="002610EE" w:rsidP="001845C9">
      <w:pPr>
        <w:pStyle w:val="FootnoteText"/>
        <w:jc w:val="both"/>
      </w:pPr>
      <w:hyperlink r:id="rId5" w:history="1">
        <w:r w:rsidR="00E572AB" w:rsidRPr="00821432">
          <w:rPr>
            <w:rStyle w:val="Hyperlink"/>
          </w:rPr>
          <w:t>https://www.gov.uk/government/consultations/off-payroll-working-in-the-private-sector</w:t>
        </w:r>
      </w:hyperlink>
      <w:r w:rsidR="00E572AB">
        <w:t>.</w:t>
      </w:r>
    </w:p>
  </w:footnote>
  <w:footnote w:id="6">
    <w:p w:rsidR="00907B43" w:rsidRDefault="00907B43" w:rsidP="001845C9">
      <w:pPr>
        <w:pStyle w:val="FootnoteText"/>
        <w:jc w:val="both"/>
      </w:pPr>
      <w:r>
        <w:rPr>
          <w:rStyle w:val="FootnoteReference"/>
        </w:rPr>
        <w:footnoteRef/>
      </w:r>
      <w:r>
        <w:t xml:space="preserve"> The policy paper and consultation document can be accessed at the link below:</w:t>
      </w:r>
    </w:p>
    <w:p w:rsidR="00907B43" w:rsidRDefault="002610EE" w:rsidP="001845C9">
      <w:pPr>
        <w:pStyle w:val="FootnoteText"/>
        <w:jc w:val="both"/>
      </w:pPr>
      <w:hyperlink r:id="rId6" w:history="1">
        <w:r w:rsidR="00907B43" w:rsidRPr="008414E3">
          <w:rPr>
            <w:rStyle w:val="Hyperlink"/>
          </w:rPr>
          <w:t>https://www.gov.uk/government/consultations/off-payroll-working-rules-from-april-2020</w:t>
        </w:r>
      </w:hyperlink>
      <w:r w:rsidR="00907B43">
        <w:t>.</w:t>
      </w:r>
    </w:p>
  </w:footnote>
  <w:footnote w:id="7">
    <w:p w:rsidR="000D5FD9" w:rsidRDefault="000D5FD9" w:rsidP="001845C9">
      <w:pPr>
        <w:pStyle w:val="FootnoteText"/>
        <w:jc w:val="both"/>
      </w:pPr>
      <w:r>
        <w:rPr>
          <w:rStyle w:val="FootnoteReference"/>
        </w:rPr>
        <w:footnoteRef/>
      </w:r>
      <w:r>
        <w:t xml:space="preserve"> The results of our analysis are summarised in Appendix A.</w:t>
      </w:r>
    </w:p>
  </w:footnote>
  <w:footnote w:id="8">
    <w:p w:rsidR="001845C9" w:rsidRDefault="001845C9" w:rsidP="001845C9">
      <w:pPr>
        <w:pStyle w:val="FootnoteText"/>
        <w:jc w:val="both"/>
      </w:pPr>
      <w:r>
        <w:rPr>
          <w:rStyle w:val="FootnoteReference"/>
        </w:rPr>
        <w:footnoteRef/>
      </w:r>
      <w:r>
        <w:t xml:space="preserve"> The report published by Tech Nation is available at the following link:</w:t>
      </w:r>
    </w:p>
    <w:p w:rsidR="001845C9" w:rsidRDefault="002610EE" w:rsidP="001845C9">
      <w:pPr>
        <w:pStyle w:val="FootnoteText"/>
        <w:jc w:val="both"/>
      </w:pPr>
      <w:hyperlink r:id="rId7" w:history="1">
        <w:r w:rsidR="001845C9" w:rsidRPr="00E655C7">
          <w:rPr>
            <w:rStyle w:val="Hyperlink"/>
          </w:rPr>
          <w:t>https://www.slideshare.net/WeAreTechNation/unicorn-update-london-tech-week-2019/WeAreTechNation/unicorn-update-london-tech-week-2019</w:t>
        </w:r>
      </w:hyperlink>
      <w:r w:rsidR="001845C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72B27"/>
    <w:multiLevelType w:val="hybridMultilevel"/>
    <w:tmpl w:val="88AC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69"/>
    <w:rsid w:val="0000025E"/>
    <w:rsid w:val="00010641"/>
    <w:rsid w:val="000352CF"/>
    <w:rsid w:val="00046716"/>
    <w:rsid w:val="00081F4E"/>
    <w:rsid w:val="00084681"/>
    <w:rsid w:val="000B607E"/>
    <w:rsid w:val="000D5FD9"/>
    <w:rsid w:val="000D7189"/>
    <w:rsid w:val="000F3AB3"/>
    <w:rsid w:val="00115074"/>
    <w:rsid w:val="001207BB"/>
    <w:rsid w:val="00122469"/>
    <w:rsid w:val="0014578E"/>
    <w:rsid w:val="00151354"/>
    <w:rsid w:val="00151708"/>
    <w:rsid w:val="0015343C"/>
    <w:rsid w:val="00154D1A"/>
    <w:rsid w:val="001845C9"/>
    <w:rsid w:val="00193209"/>
    <w:rsid w:val="001A64BE"/>
    <w:rsid w:val="001B26B3"/>
    <w:rsid w:val="001D4AC9"/>
    <w:rsid w:val="002304DD"/>
    <w:rsid w:val="00232B90"/>
    <w:rsid w:val="00237E3B"/>
    <w:rsid w:val="002610EE"/>
    <w:rsid w:val="00267EC4"/>
    <w:rsid w:val="00282C1D"/>
    <w:rsid w:val="00284660"/>
    <w:rsid w:val="0028656D"/>
    <w:rsid w:val="002A15C7"/>
    <w:rsid w:val="002B3E2C"/>
    <w:rsid w:val="002C402C"/>
    <w:rsid w:val="002D0B3E"/>
    <w:rsid w:val="002E6908"/>
    <w:rsid w:val="002E6E4A"/>
    <w:rsid w:val="002F15BD"/>
    <w:rsid w:val="0030038D"/>
    <w:rsid w:val="00332B44"/>
    <w:rsid w:val="003372E1"/>
    <w:rsid w:val="00341DB6"/>
    <w:rsid w:val="003420BB"/>
    <w:rsid w:val="003530C9"/>
    <w:rsid w:val="00374B68"/>
    <w:rsid w:val="003B5652"/>
    <w:rsid w:val="003D339E"/>
    <w:rsid w:val="003D4F2E"/>
    <w:rsid w:val="003D54F5"/>
    <w:rsid w:val="003D5983"/>
    <w:rsid w:val="003F0531"/>
    <w:rsid w:val="00403C2F"/>
    <w:rsid w:val="00411562"/>
    <w:rsid w:val="004440D1"/>
    <w:rsid w:val="004542E3"/>
    <w:rsid w:val="00461961"/>
    <w:rsid w:val="00461B71"/>
    <w:rsid w:val="00493C00"/>
    <w:rsid w:val="00496026"/>
    <w:rsid w:val="004C272C"/>
    <w:rsid w:val="004F2F07"/>
    <w:rsid w:val="00526B73"/>
    <w:rsid w:val="005369BF"/>
    <w:rsid w:val="00570D03"/>
    <w:rsid w:val="00575BCA"/>
    <w:rsid w:val="00590CE2"/>
    <w:rsid w:val="00594F2F"/>
    <w:rsid w:val="005D260D"/>
    <w:rsid w:val="005D2A0E"/>
    <w:rsid w:val="005E1D82"/>
    <w:rsid w:val="005F12FD"/>
    <w:rsid w:val="00605143"/>
    <w:rsid w:val="006317EB"/>
    <w:rsid w:val="006377DA"/>
    <w:rsid w:val="006701A1"/>
    <w:rsid w:val="00673655"/>
    <w:rsid w:val="006A47E9"/>
    <w:rsid w:val="006A50D8"/>
    <w:rsid w:val="006E4F45"/>
    <w:rsid w:val="006F1DE9"/>
    <w:rsid w:val="006F74F9"/>
    <w:rsid w:val="00710E26"/>
    <w:rsid w:val="0074244C"/>
    <w:rsid w:val="00746811"/>
    <w:rsid w:val="007A67B6"/>
    <w:rsid w:val="007A7A1D"/>
    <w:rsid w:val="007C250A"/>
    <w:rsid w:val="007D3890"/>
    <w:rsid w:val="007D3E71"/>
    <w:rsid w:val="007E4902"/>
    <w:rsid w:val="007E4F24"/>
    <w:rsid w:val="007F0DB3"/>
    <w:rsid w:val="00814CEC"/>
    <w:rsid w:val="00822A80"/>
    <w:rsid w:val="00825214"/>
    <w:rsid w:val="0083535B"/>
    <w:rsid w:val="00871BAF"/>
    <w:rsid w:val="008872DC"/>
    <w:rsid w:val="008A0833"/>
    <w:rsid w:val="008C27A1"/>
    <w:rsid w:val="008C6B6E"/>
    <w:rsid w:val="008C6C4D"/>
    <w:rsid w:val="008D044D"/>
    <w:rsid w:val="00907B43"/>
    <w:rsid w:val="00925A7E"/>
    <w:rsid w:val="0093391C"/>
    <w:rsid w:val="00943846"/>
    <w:rsid w:val="00945AA4"/>
    <w:rsid w:val="009A2883"/>
    <w:rsid w:val="009D6C9D"/>
    <w:rsid w:val="009D7317"/>
    <w:rsid w:val="009F2C78"/>
    <w:rsid w:val="00A11F7D"/>
    <w:rsid w:val="00A56F7C"/>
    <w:rsid w:val="00AA3AB0"/>
    <w:rsid w:val="00AC03D8"/>
    <w:rsid w:val="00AF6C4C"/>
    <w:rsid w:val="00B047D5"/>
    <w:rsid w:val="00B1029A"/>
    <w:rsid w:val="00B1306A"/>
    <w:rsid w:val="00B152F4"/>
    <w:rsid w:val="00B15F1D"/>
    <w:rsid w:val="00B22AE0"/>
    <w:rsid w:val="00BB078F"/>
    <w:rsid w:val="00BE391F"/>
    <w:rsid w:val="00BE7A24"/>
    <w:rsid w:val="00C17450"/>
    <w:rsid w:val="00C20927"/>
    <w:rsid w:val="00C40001"/>
    <w:rsid w:val="00C55EDC"/>
    <w:rsid w:val="00C7794E"/>
    <w:rsid w:val="00C804BD"/>
    <w:rsid w:val="00C85C6F"/>
    <w:rsid w:val="00CB3832"/>
    <w:rsid w:val="00CF29A9"/>
    <w:rsid w:val="00CF726F"/>
    <w:rsid w:val="00D071F6"/>
    <w:rsid w:val="00D42B15"/>
    <w:rsid w:val="00D466B2"/>
    <w:rsid w:val="00D569FA"/>
    <w:rsid w:val="00D7130D"/>
    <w:rsid w:val="00D926CF"/>
    <w:rsid w:val="00DA7591"/>
    <w:rsid w:val="00DB5081"/>
    <w:rsid w:val="00DB5C55"/>
    <w:rsid w:val="00DC69E9"/>
    <w:rsid w:val="00DE3DF3"/>
    <w:rsid w:val="00DE69F7"/>
    <w:rsid w:val="00DE7943"/>
    <w:rsid w:val="00E00857"/>
    <w:rsid w:val="00E14F2A"/>
    <w:rsid w:val="00E17D22"/>
    <w:rsid w:val="00E572AB"/>
    <w:rsid w:val="00E64CF5"/>
    <w:rsid w:val="00E87941"/>
    <w:rsid w:val="00EB25D3"/>
    <w:rsid w:val="00F332D3"/>
    <w:rsid w:val="00F442DC"/>
    <w:rsid w:val="00F575F0"/>
    <w:rsid w:val="00FC7E2F"/>
    <w:rsid w:val="00FD0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BF05"/>
  <w15:docId w15:val="{5B4B84C4-82F1-44DA-850D-541A6490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7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E39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391F"/>
    <w:rPr>
      <w:sz w:val="20"/>
      <w:szCs w:val="20"/>
    </w:rPr>
  </w:style>
  <w:style w:type="character" w:styleId="FootnoteReference">
    <w:name w:val="footnote reference"/>
    <w:basedOn w:val="DefaultParagraphFont"/>
    <w:uiPriority w:val="99"/>
    <w:semiHidden/>
    <w:unhideWhenUsed/>
    <w:rsid w:val="00BE391F"/>
    <w:rPr>
      <w:vertAlign w:val="superscript"/>
    </w:rPr>
  </w:style>
  <w:style w:type="character" w:styleId="Hyperlink">
    <w:name w:val="Hyperlink"/>
    <w:basedOn w:val="DefaultParagraphFont"/>
    <w:uiPriority w:val="99"/>
    <w:unhideWhenUsed/>
    <w:rsid w:val="00DE69F7"/>
    <w:rPr>
      <w:color w:val="0563C1" w:themeColor="hyperlink"/>
      <w:u w:val="single"/>
    </w:rPr>
  </w:style>
  <w:style w:type="paragraph" w:styleId="Header">
    <w:name w:val="header"/>
    <w:basedOn w:val="Normal"/>
    <w:link w:val="HeaderChar"/>
    <w:uiPriority w:val="99"/>
    <w:unhideWhenUsed/>
    <w:rsid w:val="00594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F2F"/>
  </w:style>
  <w:style w:type="paragraph" w:styleId="Footer">
    <w:name w:val="footer"/>
    <w:basedOn w:val="Normal"/>
    <w:link w:val="FooterChar"/>
    <w:uiPriority w:val="99"/>
    <w:unhideWhenUsed/>
    <w:rsid w:val="00594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F2F"/>
  </w:style>
  <w:style w:type="paragraph" w:styleId="ListParagraph">
    <w:name w:val="List Paragraph"/>
    <w:basedOn w:val="Normal"/>
    <w:uiPriority w:val="34"/>
    <w:qFormat/>
    <w:rsid w:val="00B1306A"/>
    <w:pPr>
      <w:ind w:left="720"/>
      <w:contextualSpacing/>
    </w:pPr>
  </w:style>
  <w:style w:type="paragraph" w:styleId="BalloonText">
    <w:name w:val="Balloon Text"/>
    <w:basedOn w:val="Normal"/>
    <w:link w:val="BalloonTextChar"/>
    <w:uiPriority w:val="99"/>
    <w:semiHidden/>
    <w:unhideWhenUsed/>
    <w:rsid w:val="001B2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6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771193">
      <w:bodyDiv w:val="1"/>
      <w:marLeft w:val="0"/>
      <w:marRight w:val="0"/>
      <w:marTop w:val="0"/>
      <w:marBottom w:val="0"/>
      <w:divBdr>
        <w:top w:val="none" w:sz="0" w:space="0" w:color="auto"/>
        <w:left w:val="none" w:sz="0" w:space="0" w:color="auto"/>
        <w:bottom w:val="none" w:sz="0" w:space="0" w:color="auto"/>
        <w:right w:val="none" w:sz="0" w:space="0" w:color="auto"/>
      </w:divBdr>
    </w:div>
    <w:div w:id="15319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entreforentrepreneurs.org/cfe-releases/business-formations-fall-tax-clampdown/" TargetMode="External"/><Relationship Id="rId7" Type="http://schemas.openxmlformats.org/officeDocument/2006/relationships/hyperlink" Target="https://www.slideshare.net/WeAreTechNation/unicorn-update-london-tech-week-2019/WeAreTechNation/unicorn-update-london-tech-week-2019" TargetMode="External"/><Relationship Id="rId2" Type="http://schemas.openxmlformats.org/officeDocument/2006/relationships/hyperlink" Target="https://www.informdirect.co.uk/company-formations-2017/" TargetMode="External"/><Relationship Id="rId1" Type="http://schemas.openxmlformats.org/officeDocument/2006/relationships/hyperlink" Target="https://www.gov.uk/government/publications/incorporated-companies-in-the-uk-january-to-march-2019/incorporated-companies-in-the-uk-january-to-march-2019" TargetMode="External"/><Relationship Id="rId6" Type="http://schemas.openxmlformats.org/officeDocument/2006/relationships/hyperlink" Target="https://www.gov.uk/government/consultations/off-payroll-working-rules-from-april-2020" TargetMode="External"/><Relationship Id="rId5" Type="http://schemas.openxmlformats.org/officeDocument/2006/relationships/hyperlink" Target="https://www.gov.uk/government/consultations/off-payroll-working-in-the-private-sector" TargetMode="External"/><Relationship Id="rId4" Type="http://schemas.openxmlformats.org/officeDocument/2006/relationships/hyperlink" Target="https://www.fsb.org.uk/docs/default-source/fsb-org-uk/fsb-sbi-q1-2019-final.pdf?sfvrsn=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asellig\Documents\2018%20Draw\Business%20Demography\Business%20births%20and%20deaths%20in%20the%20Combined%20Authority%20rev.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asellig\Documents\2018%20Draw\Business%20Demography\Company%20incorporations%20and%20dissolutions%20in%20the%20UK%20rev.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asellig\Documents\2018%20Draw\Business%20Demography\Company%20incorporations%20and%20dissolutions%20in%20the%20UK%20rev.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Births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Sheet1!$B$1:$H$1</c:f>
              <c:strCache>
                <c:ptCount val="7"/>
                <c:pt idx="0">
                  <c:v>2011-12</c:v>
                </c:pt>
                <c:pt idx="1">
                  <c:v>2012-13</c:v>
                </c:pt>
                <c:pt idx="2">
                  <c:v>2013-14</c:v>
                </c:pt>
                <c:pt idx="3">
                  <c:v>2014-15</c:v>
                </c:pt>
                <c:pt idx="4">
                  <c:v>2015-16</c:v>
                </c:pt>
                <c:pt idx="5">
                  <c:v>2016-17</c:v>
                </c:pt>
                <c:pt idx="6">
                  <c:v>2017-18</c:v>
                </c:pt>
              </c:strCache>
            </c:strRef>
          </c:cat>
          <c:val>
            <c:numRef>
              <c:f>Sheet1!$B$2:$H$2</c:f>
              <c:numCache>
                <c:formatCode>0.0</c:formatCode>
                <c:ptCount val="7"/>
                <c:pt idx="0">
                  <c:v>2.3980000000000001</c:v>
                </c:pt>
                <c:pt idx="1">
                  <c:v>2.629</c:v>
                </c:pt>
                <c:pt idx="2">
                  <c:v>2.774</c:v>
                </c:pt>
                <c:pt idx="3">
                  <c:v>2.96</c:v>
                </c:pt>
                <c:pt idx="4">
                  <c:v>3.2909999999999999</c:v>
                </c:pt>
                <c:pt idx="5">
                  <c:v>2.2280000000000002</c:v>
                </c:pt>
                <c:pt idx="6">
                  <c:v>2.5089999999999999</c:v>
                </c:pt>
              </c:numCache>
            </c:numRef>
          </c:val>
          <c:smooth val="0"/>
          <c:extLst>
            <c:ext xmlns:c16="http://schemas.microsoft.com/office/drawing/2014/chart" uri="{C3380CC4-5D6E-409C-BE32-E72D297353CC}">
              <c16:uniqueId val="{00000000-10F4-4915-9E8B-7DCA0AF74971}"/>
            </c:ext>
          </c:extLst>
        </c:ser>
        <c:ser>
          <c:idx val="1"/>
          <c:order val="1"/>
          <c:tx>
            <c:strRef>
              <c:f>Sheet1!$A$3</c:f>
              <c:strCache>
                <c:ptCount val="1"/>
                <c:pt idx="0">
                  <c:v>Deaths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Sheet1!$B$1:$H$1</c:f>
              <c:strCache>
                <c:ptCount val="7"/>
                <c:pt idx="0">
                  <c:v>2011-12</c:v>
                </c:pt>
                <c:pt idx="1">
                  <c:v>2012-13</c:v>
                </c:pt>
                <c:pt idx="2">
                  <c:v>2013-14</c:v>
                </c:pt>
                <c:pt idx="3">
                  <c:v>2014-15</c:v>
                </c:pt>
                <c:pt idx="4">
                  <c:v>2015-16</c:v>
                </c:pt>
                <c:pt idx="5">
                  <c:v>2016-17</c:v>
                </c:pt>
                <c:pt idx="6">
                  <c:v>2017-18</c:v>
                </c:pt>
              </c:strCache>
            </c:strRef>
          </c:cat>
          <c:val>
            <c:numRef>
              <c:f>Sheet1!$B$3:$H$3</c:f>
              <c:numCache>
                <c:formatCode>0.0</c:formatCode>
                <c:ptCount val="7"/>
                <c:pt idx="0">
                  <c:v>1.153</c:v>
                </c:pt>
                <c:pt idx="1">
                  <c:v>1.3080000000000001</c:v>
                </c:pt>
                <c:pt idx="2">
                  <c:v>1.4390000000000001</c:v>
                </c:pt>
                <c:pt idx="3">
                  <c:v>1.647</c:v>
                </c:pt>
                <c:pt idx="4">
                  <c:v>1.764</c:v>
                </c:pt>
                <c:pt idx="5">
                  <c:v>2.02</c:v>
                </c:pt>
                <c:pt idx="6">
                  <c:v>1.625</c:v>
                </c:pt>
              </c:numCache>
            </c:numRef>
          </c:val>
          <c:smooth val="0"/>
          <c:extLst>
            <c:ext xmlns:c16="http://schemas.microsoft.com/office/drawing/2014/chart" uri="{C3380CC4-5D6E-409C-BE32-E72D297353CC}">
              <c16:uniqueId val="{00000001-10F4-4915-9E8B-7DCA0AF74971}"/>
            </c:ext>
          </c:extLst>
        </c:ser>
        <c:dLbls>
          <c:showLegendKey val="0"/>
          <c:showVal val="0"/>
          <c:showCatName val="0"/>
          <c:showSerName val="0"/>
          <c:showPercent val="0"/>
          <c:showBubbleSize val="0"/>
        </c:dLbls>
        <c:marker val="1"/>
        <c:smooth val="0"/>
        <c:axId val="472993904"/>
        <c:axId val="472983736"/>
      </c:lineChart>
      <c:catAx>
        <c:axId val="47299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983736"/>
        <c:crosses val="autoZero"/>
        <c:auto val="1"/>
        <c:lblAlgn val="ctr"/>
        <c:lblOffset val="100"/>
        <c:noMultiLvlLbl val="0"/>
      </c:catAx>
      <c:valAx>
        <c:axId val="472983736"/>
        <c:scaling>
          <c:orientation val="minMax"/>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of business births/deaths (000s)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993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'Number - Yearly'!$B$1</c:f>
              <c:strCache>
                <c:ptCount val="1"/>
                <c:pt idx="0">
                  <c:v>Incorporations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'Number - Yearly'!$A$2:$A$9</c:f>
              <c:numCache>
                <c:formatCode>General</c:formatCode>
                <c:ptCount val="8"/>
                <c:pt idx="0">
                  <c:v>2011</c:v>
                </c:pt>
                <c:pt idx="1">
                  <c:v>2012</c:v>
                </c:pt>
                <c:pt idx="2">
                  <c:v>2013</c:v>
                </c:pt>
                <c:pt idx="3">
                  <c:v>2014</c:v>
                </c:pt>
                <c:pt idx="4">
                  <c:v>2015</c:v>
                </c:pt>
                <c:pt idx="5">
                  <c:v>2016</c:v>
                </c:pt>
                <c:pt idx="6">
                  <c:v>2017</c:v>
                </c:pt>
                <c:pt idx="7">
                  <c:v>2018</c:v>
                </c:pt>
              </c:numCache>
            </c:numRef>
          </c:cat>
          <c:val>
            <c:numRef>
              <c:f>'Number - Yearly'!$B$2:$B$9</c:f>
              <c:numCache>
                <c:formatCode>#,##0.0</c:formatCode>
                <c:ptCount val="8"/>
                <c:pt idx="0">
                  <c:v>440.63799999999998</c:v>
                </c:pt>
                <c:pt idx="1">
                  <c:v>479.54500000000002</c:v>
                </c:pt>
                <c:pt idx="2">
                  <c:v>509.62799999999999</c:v>
                </c:pt>
                <c:pt idx="3">
                  <c:v>573.65800000000002</c:v>
                </c:pt>
                <c:pt idx="4">
                  <c:v>598.63</c:v>
                </c:pt>
                <c:pt idx="5">
                  <c:v>646.70299999999997</c:v>
                </c:pt>
                <c:pt idx="6">
                  <c:v>622.71299999999997</c:v>
                </c:pt>
                <c:pt idx="7">
                  <c:v>657.86800000000005</c:v>
                </c:pt>
              </c:numCache>
            </c:numRef>
          </c:val>
          <c:smooth val="0"/>
          <c:extLst>
            <c:ext xmlns:c16="http://schemas.microsoft.com/office/drawing/2014/chart" uri="{C3380CC4-5D6E-409C-BE32-E72D297353CC}">
              <c16:uniqueId val="{00000000-D229-4569-8048-89BE6A0CC7CD}"/>
            </c:ext>
          </c:extLst>
        </c:ser>
        <c:ser>
          <c:idx val="2"/>
          <c:order val="1"/>
          <c:tx>
            <c:strRef>
              <c:f>'Number - Yearly'!$C$1</c:f>
              <c:strCache>
                <c:ptCount val="1"/>
                <c:pt idx="0">
                  <c:v>Dissolutions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'Number - Yearly'!$A$2:$A$9</c:f>
              <c:numCache>
                <c:formatCode>General</c:formatCode>
                <c:ptCount val="8"/>
                <c:pt idx="0">
                  <c:v>2011</c:v>
                </c:pt>
                <c:pt idx="1">
                  <c:v>2012</c:v>
                </c:pt>
                <c:pt idx="2">
                  <c:v>2013</c:v>
                </c:pt>
                <c:pt idx="3">
                  <c:v>2014</c:v>
                </c:pt>
                <c:pt idx="4">
                  <c:v>2015</c:v>
                </c:pt>
                <c:pt idx="5">
                  <c:v>2016</c:v>
                </c:pt>
                <c:pt idx="6">
                  <c:v>2017</c:v>
                </c:pt>
                <c:pt idx="7">
                  <c:v>2018</c:v>
                </c:pt>
              </c:numCache>
            </c:numRef>
          </c:cat>
          <c:val>
            <c:numRef>
              <c:f>'Number - Yearly'!$C$2:$C$9</c:f>
              <c:numCache>
                <c:formatCode>#,##0.0</c:formatCode>
                <c:ptCount val="8"/>
                <c:pt idx="0">
                  <c:v>299.072</c:v>
                </c:pt>
                <c:pt idx="1">
                  <c:v>288.79399999999998</c:v>
                </c:pt>
                <c:pt idx="2">
                  <c:v>318.80700000000002</c:v>
                </c:pt>
                <c:pt idx="3">
                  <c:v>373.43700000000001</c:v>
                </c:pt>
                <c:pt idx="4">
                  <c:v>360.01499999999999</c:v>
                </c:pt>
                <c:pt idx="5">
                  <c:v>459.90100000000001</c:v>
                </c:pt>
                <c:pt idx="6">
                  <c:v>470.95400000000001</c:v>
                </c:pt>
                <c:pt idx="7">
                  <c:v>499.77</c:v>
                </c:pt>
              </c:numCache>
            </c:numRef>
          </c:val>
          <c:smooth val="0"/>
          <c:extLst>
            <c:ext xmlns:c16="http://schemas.microsoft.com/office/drawing/2014/chart" uri="{C3380CC4-5D6E-409C-BE32-E72D297353CC}">
              <c16:uniqueId val="{00000001-D229-4569-8048-89BE6A0CC7CD}"/>
            </c:ext>
          </c:extLst>
        </c:ser>
        <c:dLbls>
          <c:showLegendKey val="0"/>
          <c:showVal val="0"/>
          <c:showCatName val="0"/>
          <c:showSerName val="0"/>
          <c:showPercent val="0"/>
          <c:showBubbleSize val="0"/>
        </c:dLbls>
        <c:marker val="1"/>
        <c:smooth val="0"/>
        <c:axId val="468696008"/>
        <c:axId val="468695680"/>
      </c:lineChart>
      <c:catAx>
        <c:axId val="468696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695680"/>
        <c:crosses val="autoZero"/>
        <c:auto val="1"/>
        <c:lblAlgn val="ctr"/>
        <c:lblOffset val="100"/>
        <c:noMultiLvlLbl val="0"/>
      </c:catAx>
      <c:valAx>
        <c:axId val="468695680"/>
        <c:scaling>
          <c:orientation val="minMax"/>
          <c:min val="2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of incorporations/dissolutions (000s)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696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'Number - Quarterly'!$B$1</c:f>
              <c:strCache>
                <c:ptCount val="1"/>
                <c:pt idx="0">
                  <c:v>Incorporations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'Number - Quarterly'!$A$2:$A$34</c:f>
              <c:strCache>
                <c:ptCount val="33"/>
                <c:pt idx="0">
                  <c:v>2011 Q1</c:v>
                </c:pt>
                <c:pt idx="1">
                  <c:v>2011 Q2</c:v>
                </c:pt>
                <c:pt idx="2">
                  <c:v>2011 Q3</c:v>
                </c:pt>
                <c:pt idx="3">
                  <c:v>2011 Q4</c:v>
                </c:pt>
                <c:pt idx="4">
                  <c:v>2012 Q1</c:v>
                </c:pt>
                <c:pt idx="5">
                  <c:v>2012 Q2</c:v>
                </c:pt>
                <c:pt idx="6">
                  <c:v>2012 Q3</c:v>
                </c:pt>
                <c:pt idx="7">
                  <c:v>2012 Q4</c:v>
                </c:pt>
                <c:pt idx="8">
                  <c:v>2013 Q1</c:v>
                </c:pt>
                <c:pt idx="9">
                  <c:v>2013 Q2</c:v>
                </c:pt>
                <c:pt idx="10">
                  <c:v>2013 Q3</c:v>
                </c:pt>
                <c:pt idx="11">
                  <c:v>2013 Q4</c:v>
                </c:pt>
                <c:pt idx="12">
                  <c:v>2014 Q1</c:v>
                </c:pt>
                <c:pt idx="13">
                  <c:v>2014 Q2</c:v>
                </c:pt>
                <c:pt idx="14">
                  <c:v>2014 Q3</c:v>
                </c:pt>
                <c:pt idx="15">
                  <c:v>2014 Q4</c:v>
                </c:pt>
                <c:pt idx="16">
                  <c:v>2015 Q1</c:v>
                </c:pt>
                <c:pt idx="17">
                  <c:v>2015 Q2</c:v>
                </c:pt>
                <c:pt idx="18">
                  <c:v>2015 Q3</c:v>
                </c:pt>
                <c:pt idx="19">
                  <c:v>2015 Q4</c:v>
                </c:pt>
                <c:pt idx="20">
                  <c:v>2016 Q1</c:v>
                </c:pt>
                <c:pt idx="21">
                  <c:v>2016 Q2</c:v>
                </c:pt>
                <c:pt idx="22">
                  <c:v>2016 Q3</c:v>
                </c:pt>
                <c:pt idx="23">
                  <c:v>2016 Q4</c:v>
                </c:pt>
                <c:pt idx="24">
                  <c:v>2017 Q1</c:v>
                </c:pt>
                <c:pt idx="25">
                  <c:v>2017 Q2</c:v>
                </c:pt>
                <c:pt idx="26">
                  <c:v>2017 Q3</c:v>
                </c:pt>
                <c:pt idx="27">
                  <c:v>2017 Q4</c:v>
                </c:pt>
                <c:pt idx="28">
                  <c:v>2018 Q1</c:v>
                </c:pt>
                <c:pt idx="29">
                  <c:v>2018 Q2</c:v>
                </c:pt>
                <c:pt idx="30">
                  <c:v>2018 Q3</c:v>
                </c:pt>
                <c:pt idx="31">
                  <c:v>2018 Q4</c:v>
                </c:pt>
                <c:pt idx="32">
                  <c:v>2019 Q1</c:v>
                </c:pt>
              </c:strCache>
            </c:strRef>
          </c:cat>
          <c:val>
            <c:numRef>
              <c:f>'Number - Quarterly'!$B$2:$B$34</c:f>
              <c:numCache>
                <c:formatCode>0.0</c:formatCode>
                <c:ptCount val="33"/>
                <c:pt idx="0">
                  <c:v>113.191</c:v>
                </c:pt>
                <c:pt idx="1">
                  <c:v>109.07599999999999</c:v>
                </c:pt>
                <c:pt idx="2">
                  <c:v>111.62</c:v>
                </c:pt>
                <c:pt idx="3">
                  <c:v>106.751</c:v>
                </c:pt>
                <c:pt idx="4">
                  <c:v>128.202</c:v>
                </c:pt>
                <c:pt idx="5">
                  <c:v>118.503</c:v>
                </c:pt>
                <c:pt idx="6">
                  <c:v>116.163</c:v>
                </c:pt>
                <c:pt idx="7">
                  <c:v>116.67700000000001</c:v>
                </c:pt>
                <c:pt idx="8">
                  <c:v>131.452</c:v>
                </c:pt>
                <c:pt idx="9">
                  <c:v>131.38800000000001</c:v>
                </c:pt>
                <c:pt idx="10">
                  <c:v>126.779</c:v>
                </c:pt>
                <c:pt idx="11">
                  <c:v>120.009</c:v>
                </c:pt>
                <c:pt idx="12">
                  <c:v>147.274</c:v>
                </c:pt>
                <c:pt idx="13">
                  <c:v>148.393</c:v>
                </c:pt>
                <c:pt idx="14">
                  <c:v>141.80699999999999</c:v>
                </c:pt>
                <c:pt idx="15">
                  <c:v>136.184</c:v>
                </c:pt>
                <c:pt idx="16">
                  <c:v>159.357</c:v>
                </c:pt>
                <c:pt idx="17">
                  <c:v>153.422</c:v>
                </c:pt>
                <c:pt idx="18">
                  <c:v>147.04900000000001</c:v>
                </c:pt>
                <c:pt idx="19">
                  <c:v>138.80199999999999</c:v>
                </c:pt>
                <c:pt idx="20">
                  <c:v>172.096</c:v>
                </c:pt>
                <c:pt idx="21">
                  <c:v>172.935</c:v>
                </c:pt>
                <c:pt idx="22">
                  <c:v>154.685</c:v>
                </c:pt>
                <c:pt idx="23">
                  <c:v>146.98699999999999</c:v>
                </c:pt>
                <c:pt idx="24">
                  <c:v>170.143</c:v>
                </c:pt>
                <c:pt idx="25">
                  <c:v>152.411</c:v>
                </c:pt>
                <c:pt idx="26">
                  <c:v>153.30699999999999</c:v>
                </c:pt>
                <c:pt idx="27">
                  <c:v>146.852</c:v>
                </c:pt>
                <c:pt idx="28">
                  <c:v>167.55199999999999</c:v>
                </c:pt>
                <c:pt idx="29">
                  <c:v>166.886</c:v>
                </c:pt>
                <c:pt idx="30">
                  <c:v>164.42400000000001</c:v>
                </c:pt>
                <c:pt idx="31">
                  <c:v>158.84100000000001</c:v>
                </c:pt>
                <c:pt idx="32">
                  <c:v>182.74199999999999</c:v>
                </c:pt>
              </c:numCache>
            </c:numRef>
          </c:val>
          <c:smooth val="0"/>
          <c:extLst>
            <c:ext xmlns:c16="http://schemas.microsoft.com/office/drawing/2014/chart" uri="{C3380CC4-5D6E-409C-BE32-E72D297353CC}">
              <c16:uniqueId val="{00000000-1989-4B9B-BA92-C2C23E032DEC}"/>
            </c:ext>
          </c:extLst>
        </c:ser>
        <c:ser>
          <c:idx val="1"/>
          <c:order val="1"/>
          <c:tx>
            <c:strRef>
              <c:f>'Number - Quarterly'!$C$1</c:f>
              <c:strCache>
                <c:ptCount val="1"/>
                <c:pt idx="0">
                  <c:v>Dissolutions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'Number - Quarterly'!$A$2:$A$34</c:f>
              <c:strCache>
                <c:ptCount val="33"/>
                <c:pt idx="0">
                  <c:v>2011 Q1</c:v>
                </c:pt>
                <c:pt idx="1">
                  <c:v>2011 Q2</c:v>
                </c:pt>
                <c:pt idx="2">
                  <c:v>2011 Q3</c:v>
                </c:pt>
                <c:pt idx="3">
                  <c:v>2011 Q4</c:v>
                </c:pt>
                <c:pt idx="4">
                  <c:v>2012 Q1</c:v>
                </c:pt>
                <c:pt idx="5">
                  <c:v>2012 Q2</c:v>
                </c:pt>
                <c:pt idx="6">
                  <c:v>2012 Q3</c:v>
                </c:pt>
                <c:pt idx="7">
                  <c:v>2012 Q4</c:v>
                </c:pt>
                <c:pt idx="8">
                  <c:v>2013 Q1</c:v>
                </c:pt>
                <c:pt idx="9">
                  <c:v>2013 Q2</c:v>
                </c:pt>
                <c:pt idx="10">
                  <c:v>2013 Q3</c:v>
                </c:pt>
                <c:pt idx="11">
                  <c:v>2013 Q4</c:v>
                </c:pt>
                <c:pt idx="12">
                  <c:v>2014 Q1</c:v>
                </c:pt>
                <c:pt idx="13">
                  <c:v>2014 Q2</c:v>
                </c:pt>
                <c:pt idx="14">
                  <c:v>2014 Q3</c:v>
                </c:pt>
                <c:pt idx="15">
                  <c:v>2014 Q4</c:v>
                </c:pt>
                <c:pt idx="16">
                  <c:v>2015 Q1</c:v>
                </c:pt>
                <c:pt idx="17">
                  <c:v>2015 Q2</c:v>
                </c:pt>
                <c:pt idx="18">
                  <c:v>2015 Q3</c:v>
                </c:pt>
                <c:pt idx="19">
                  <c:v>2015 Q4</c:v>
                </c:pt>
                <c:pt idx="20">
                  <c:v>2016 Q1</c:v>
                </c:pt>
                <c:pt idx="21">
                  <c:v>2016 Q2</c:v>
                </c:pt>
                <c:pt idx="22">
                  <c:v>2016 Q3</c:v>
                </c:pt>
                <c:pt idx="23">
                  <c:v>2016 Q4</c:v>
                </c:pt>
                <c:pt idx="24">
                  <c:v>2017 Q1</c:v>
                </c:pt>
                <c:pt idx="25">
                  <c:v>2017 Q2</c:v>
                </c:pt>
                <c:pt idx="26">
                  <c:v>2017 Q3</c:v>
                </c:pt>
                <c:pt idx="27">
                  <c:v>2017 Q4</c:v>
                </c:pt>
                <c:pt idx="28">
                  <c:v>2018 Q1</c:v>
                </c:pt>
                <c:pt idx="29">
                  <c:v>2018 Q2</c:v>
                </c:pt>
                <c:pt idx="30">
                  <c:v>2018 Q3</c:v>
                </c:pt>
                <c:pt idx="31">
                  <c:v>2018 Q4</c:v>
                </c:pt>
                <c:pt idx="32">
                  <c:v>2019 Q1</c:v>
                </c:pt>
              </c:strCache>
            </c:strRef>
          </c:cat>
          <c:val>
            <c:numRef>
              <c:f>'Number - Quarterly'!$C$2:$C$34</c:f>
              <c:numCache>
                <c:formatCode>0.0</c:formatCode>
                <c:ptCount val="33"/>
                <c:pt idx="0">
                  <c:v>80.685000000000002</c:v>
                </c:pt>
                <c:pt idx="1">
                  <c:v>72.061000000000007</c:v>
                </c:pt>
                <c:pt idx="2">
                  <c:v>69.418999999999997</c:v>
                </c:pt>
                <c:pt idx="3">
                  <c:v>76.906999999999996</c:v>
                </c:pt>
                <c:pt idx="4">
                  <c:v>71.268000000000001</c:v>
                </c:pt>
                <c:pt idx="5">
                  <c:v>79.040000000000006</c:v>
                </c:pt>
                <c:pt idx="6">
                  <c:v>76.462999999999994</c:v>
                </c:pt>
                <c:pt idx="7">
                  <c:v>62.023000000000003</c:v>
                </c:pt>
                <c:pt idx="8">
                  <c:v>82.721999999999994</c:v>
                </c:pt>
                <c:pt idx="9">
                  <c:v>74.494</c:v>
                </c:pt>
                <c:pt idx="10">
                  <c:v>84.275000000000006</c:v>
                </c:pt>
                <c:pt idx="11">
                  <c:v>77.316000000000003</c:v>
                </c:pt>
                <c:pt idx="12">
                  <c:v>87.222999999999999</c:v>
                </c:pt>
                <c:pt idx="13">
                  <c:v>92.515000000000001</c:v>
                </c:pt>
                <c:pt idx="14">
                  <c:v>96.561000000000007</c:v>
                </c:pt>
                <c:pt idx="15">
                  <c:v>97.138000000000005</c:v>
                </c:pt>
                <c:pt idx="16">
                  <c:v>83.311999999999998</c:v>
                </c:pt>
                <c:pt idx="17">
                  <c:v>87.046999999999997</c:v>
                </c:pt>
                <c:pt idx="18">
                  <c:v>99.218999999999994</c:v>
                </c:pt>
                <c:pt idx="19">
                  <c:v>90.436999999999998</c:v>
                </c:pt>
                <c:pt idx="20">
                  <c:v>134.15700000000001</c:v>
                </c:pt>
                <c:pt idx="21">
                  <c:v>111.93</c:v>
                </c:pt>
                <c:pt idx="22">
                  <c:v>102.681</c:v>
                </c:pt>
                <c:pt idx="23">
                  <c:v>111.133</c:v>
                </c:pt>
                <c:pt idx="24">
                  <c:v>108.919</c:v>
                </c:pt>
                <c:pt idx="25">
                  <c:v>114.756</c:v>
                </c:pt>
                <c:pt idx="26">
                  <c:v>129.73400000000001</c:v>
                </c:pt>
                <c:pt idx="27">
                  <c:v>117.545</c:v>
                </c:pt>
                <c:pt idx="28">
                  <c:v>129.68799999999999</c:v>
                </c:pt>
                <c:pt idx="29">
                  <c:v>126.554</c:v>
                </c:pt>
                <c:pt idx="30">
                  <c:v>131.40700000000001</c:v>
                </c:pt>
                <c:pt idx="31">
                  <c:v>112.121</c:v>
                </c:pt>
                <c:pt idx="32">
                  <c:v>142.38999999999999</c:v>
                </c:pt>
              </c:numCache>
            </c:numRef>
          </c:val>
          <c:smooth val="0"/>
          <c:extLst>
            <c:ext xmlns:c16="http://schemas.microsoft.com/office/drawing/2014/chart" uri="{C3380CC4-5D6E-409C-BE32-E72D297353CC}">
              <c16:uniqueId val="{00000001-1989-4B9B-BA92-C2C23E032DEC}"/>
            </c:ext>
          </c:extLst>
        </c:ser>
        <c:dLbls>
          <c:showLegendKey val="0"/>
          <c:showVal val="0"/>
          <c:showCatName val="0"/>
          <c:showSerName val="0"/>
          <c:showPercent val="0"/>
          <c:showBubbleSize val="0"/>
        </c:dLbls>
        <c:marker val="1"/>
        <c:smooth val="0"/>
        <c:axId val="507006832"/>
        <c:axId val="507001256"/>
      </c:lineChart>
      <c:catAx>
        <c:axId val="50700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001256"/>
        <c:crosses val="autoZero"/>
        <c:auto val="1"/>
        <c:lblAlgn val="ctr"/>
        <c:lblOffset val="100"/>
        <c:noMultiLvlLbl val="0"/>
      </c:catAx>
      <c:valAx>
        <c:axId val="507001256"/>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a:t>
                </a:r>
                <a:r>
                  <a:rPr lang="en-GB" baseline="0"/>
                  <a:t> of incorporations/dissolutions (000s)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006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A7492-C7FA-4A93-B926-EF986E3C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8</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Cambridge Judge Business School</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Giorgio Caselli</dc:creator>
  <cp:lastModifiedBy>Giorgio Caselli</cp:lastModifiedBy>
  <cp:revision>50</cp:revision>
  <dcterms:created xsi:type="dcterms:W3CDTF">2018-09-05T11:09:00Z</dcterms:created>
  <dcterms:modified xsi:type="dcterms:W3CDTF">2019-06-19T10:15:00Z</dcterms:modified>
</cp:coreProperties>
</file>