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78" w:rsidRDefault="00767B8A" w:rsidP="00767B8A">
      <w:pPr>
        <w:jc w:val="right"/>
        <w:rPr>
          <w:rFonts w:ascii="Times New Roman" w:hAnsi="Times New Roman" w:cs="Times New Roman"/>
          <w:b/>
          <w:sz w:val="24"/>
          <w:szCs w:val="24"/>
        </w:rPr>
      </w:pPr>
      <w:r>
        <w:rPr>
          <w:rFonts w:ascii="Arial" w:hAnsi="Arial" w:cs="Arial"/>
          <w:noProof/>
          <w:color w:val="4B6893"/>
          <w:sz w:val="21"/>
          <w:szCs w:val="21"/>
          <w:lang w:eastAsia="en-GB"/>
        </w:rPr>
        <w:drawing>
          <wp:inline distT="0" distB="0" distL="0" distR="0">
            <wp:extent cx="619125" cy="539389"/>
            <wp:effectExtent l="0" t="0" r="0" b="0"/>
            <wp:docPr id="1" name="Picture 1" descr="Centre for Business Research logo">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for Business Research logo">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24" cy="539911"/>
                    </a:xfrm>
                    <a:prstGeom prst="rect">
                      <a:avLst/>
                    </a:prstGeom>
                    <a:noFill/>
                    <a:ln>
                      <a:noFill/>
                    </a:ln>
                  </pic:spPr>
                </pic:pic>
              </a:graphicData>
            </a:graphic>
          </wp:inline>
        </w:drawing>
      </w:r>
    </w:p>
    <w:p w:rsidR="00767B8A" w:rsidRPr="00DF2058" w:rsidRDefault="00767B8A" w:rsidP="00767B8A">
      <w:pPr>
        <w:jc w:val="center"/>
        <w:rPr>
          <w:rFonts w:ascii="Times New Roman" w:hAnsi="Times New Roman" w:cs="Times New Roman"/>
          <w:b/>
          <w:sz w:val="24"/>
          <w:szCs w:val="24"/>
        </w:rPr>
      </w:pPr>
      <w:r w:rsidRPr="00DF2058">
        <w:rPr>
          <w:rFonts w:ascii="Times New Roman" w:hAnsi="Times New Roman" w:cs="Times New Roman"/>
          <w:b/>
          <w:sz w:val="24"/>
          <w:szCs w:val="24"/>
        </w:rPr>
        <w:t>CBR DATABASE M</w:t>
      </w:r>
      <w:r>
        <w:rPr>
          <w:rFonts w:ascii="Times New Roman" w:hAnsi="Times New Roman" w:cs="Times New Roman"/>
          <w:b/>
          <w:sz w:val="24"/>
          <w:szCs w:val="24"/>
        </w:rPr>
        <w:t>E</w:t>
      </w:r>
      <w:r w:rsidRPr="00DF2058">
        <w:rPr>
          <w:rFonts w:ascii="Times New Roman" w:hAnsi="Times New Roman" w:cs="Times New Roman"/>
          <w:b/>
          <w:sz w:val="24"/>
          <w:szCs w:val="24"/>
        </w:rPr>
        <w:t>THODOLOGY</w:t>
      </w:r>
    </w:p>
    <w:p w:rsidR="000F3C78" w:rsidRPr="00DF2058" w:rsidRDefault="000F3C78" w:rsidP="000F3C78">
      <w:pPr>
        <w:jc w:val="center"/>
        <w:rPr>
          <w:rFonts w:ascii="Times New Roman" w:hAnsi="Times New Roman" w:cs="Times New Roman"/>
          <w:b/>
          <w:sz w:val="24"/>
          <w:szCs w:val="24"/>
        </w:rPr>
      </w:pPr>
      <w:r w:rsidRPr="00DF2058">
        <w:rPr>
          <w:rFonts w:ascii="Times New Roman" w:hAnsi="Times New Roman" w:cs="Times New Roman"/>
          <w:b/>
          <w:sz w:val="24"/>
          <w:szCs w:val="24"/>
        </w:rPr>
        <w:t>Companies in the Cambridge region</w:t>
      </w:r>
    </w:p>
    <w:p w:rsidR="009A311A" w:rsidRPr="00DF2058" w:rsidRDefault="009A311A">
      <w:pPr>
        <w:rPr>
          <w:rFonts w:ascii="Times New Roman" w:hAnsi="Times New Roman" w:cs="Times New Roman"/>
          <w:sz w:val="24"/>
          <w:szCs w:val="24"/>
        </w:rPr>
      </w:pPr>
    </w:p>
    <w:p w:rsidR="000F3C78" w:rsidRPr="00DF2058" w:rsidRDefault="000F3C78"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t>This document describes how the database of over twenty</w:t>
      </w:r>
      <w:r w:rsidR="008C4464">
        <w:rPr>
          <w:rFonts w:ascii="Times New Roman" w:hAnsi="Times New Roman" w:cs="Times New Roman"/>
          <w:sz w:val="24"/>
          <w:szCs w:val="24"/>
        </w:rPr>
        <w:t>-four</w:t>
      </w:r>
      <w:r w:rsidRPr="00DF2058">
        <w:rPr>
          <w:rFonts w:ascii="Times New Roman" w:hAnsi="Times New Roman" w:cs="Times New Roman"/>
          <w:sz w:val="24"/>
          <w:szCs w:val="24"/>
        </w:rPr>
        <w:t xml:space="preserve"> thousand companies operating in the Cambridge region was created. The database contains only </w:t>
      </w:r>
      <w:r w:rsidR="00203992" w:rsidRPr="00DF2058">
        <w:rPr>
          <w:rFonts w:ascii="Times New Roman" w:hAnsi="Times New Roman" w:cs="Times New Roman"/>
          <w:sz w:val="24"/>
          <w:szCs w:val="24"/>
        </w:rPr>
        <w:t>companies and limited partnerships (LLPs) and therefore excludes sole proprietorships and other forms of unincorporated businesses. The database provides data for turnover and employment of Cambridge based companies, but it must be noted that these figures represent their employment and turnover in Cambridge and in other parts of the country and abroad. Further work is being carried out to enable us to provide an estimate of the local content of their employment</w:t>
      </w:r>
      <w:r w:rsidR="00135DCA">
        <w:rPr>
          <w:rFonts w:ascii="Times New Roman" w:hAnsi="Times New Roman" w:cs="Times New Roman"/>
          <w:sz w:val="24"/>
          <w:szCs w:val="24"/>
        </w:rPr>
        <w:t>.</w:t>
      </w:r>
      <w:r w:rsidR="00203992" w:rsidRPr="00DF2058">
        <w:rPr>
          <w:rFonts w:ascii="Times New Roman" w:hAnsi="Times New Roman" w:cs="Times New Roman"/>
          <w:sz w:val="24"/>
          <w:szCs w:val="24"/>
        </w:rPr>
        <w:t xml:space="preserve"> The source of the data is the FAME database produced by Bureau Van </w:t>
      </w:r>
      <w:proofErr w:type="spellStart"/>
      <w:r w:rsidR="00203992" w:rsidRPr="00DF2058">
        <w:rPr>
          <w:rFonts w:ascii="Times New Roman" w:hAnsi="Times New Roman" w:cs="Times New Roman"/>
          <w:sz w:val="24"/>
          <w:szCs w:val="24"/>
        </w:rPr>
        <w:t>Dijk</w:t>
      </w:r>
      <w:proofErr w:type="spellEnd"/>
      <w:r w:rsidR="00203992" w:rsidRPr="00DF2058">
        <w:rPr>
          <w:rFonts w:ascii="Times New Roman" w:hAnsi="Times New Roman" w:cs="Times New Roman"/>
          <w:sz w:val="24"/>
          <w:szCs w:val="24"/>
        </w:rPr>
        <w:t xml:space="preserve"> which includes over </w:t>
      </w:r>
      <w:r w:rsidR="005A5BF8" w:rsidRPr="00DF2058">
        <w:rPr>
          <w:rFonts w:ascii="Times New Roman" w:hAnsi="Times New Roman" w:cs="Times New Roman"/>
          <w:sz w:val="24"/>
          <w:szCs w:val="24"/>
        </w:rPr>
        <w:t>3</w:t>
      </w:r>
      <w:r w:rsidR="00203992" w:rsidRPr="00DF2058">
        <w:rPr>
          <w:rFonts w:ascii="Times New Roman" w:hAnsi="Times New Roman" w:cs="Times New Roman"/>
          <w:sz w:val="24"/>
          <w:szCs w:val="24"/>
        </w:rPr>
        <w:t xml:space="preserve"> million </w:t>
      </w:r>
      <w:r w:rsidR="005A5BF8" w:rsidRPr="00DF2058">
        <w:rPr>
          <w:rFonts w:ascii="Times New Roman" w:hAnsi="Times New Roman" w:cs="Times New Roman"/>
          <w:sz w:val="24"/>
          <w:szCs w:val="24"/>
        </w:rPr>
        <w:t xml:space="preserve">active UK-based </w:t>
      </w:r>
      <w:r w:rsidR="00203992" w:rsidRPr="00DF2058">
        <w:rPr>
          <w:rFonts w:ascii="Times New Roman" w:hAnsi="Times New Roman" w:cs="Times New Roman"/>
          <w:sz w:val="24"/>
          <w:szCs w:val="24"/>
        </w:rPr>
        <w:t>companies</w:t>
      </w:r>
      <w:r w:rsidR="005A5BF8" w:rsidRPr="00DF2058">
        <w:rPr>
          <w:rFonts w:ascii="Times New Roman" w:hAnsi="Times New Roman" w:cs="Times New Roman"/>
          <w:sz w:val="24"/>
          <w:szCs w:val="24"/>
        </w:rPr>
        <w:t xml:space="preserve"> and a further 6 million that are dormant or who have died.</w:t>
      </w:r>
    </w:p>
    <w:p w:rsidR="009A311A" w:rsidRPr="00DF2058" w:rsidRDefault="009A311A">
      <w:pPr>
        <w:rPr>
          <w:rFonts w:ascii="Times New Roman" w:hAnsi="Times New Roman" w:cs="Times New Roman"/>
          <w:sz w:val="24"/>
          <w:szCs w:val="24"/>
        </w:rPr>
      </w:pPr>
    </w:p>
    <w:p w:rsidR="00EC31F7" w:rsidRPr="00DF2058" w:rsidRDefault="00EF0548">
      <w:pPr>
        <w:rPr>
          <w:rFonts w:ascii="Times New Roman" w:hAnsi="Times New Roman" w:cs="Times New Roman"/>
          <w:b/>
          <w:sz w:val="24"/>
          <w:szCs w:val="24"/>
        </w:rPr>
      </w:pPr>
      <w:r w:rsidRPr="00DF2058">
        <w:rPr>
          <w:rFonts w:ascii="Times New Roman" w:hAnsi="Times New Roman" w:cs="Times New Roman"/>
          <w:b/>
          <w:sz w:val="24"/>
          <w:szCs w:val="24"/>
        </w:rPr>
        <w:t>Cambridge Ahead area and</w:t>
      </w:r>
      <w:r w:rsidR="005A5BF8" w:rsidRPr="00DF2058">
        <w:rPr>
          <w:rFonts w:ascii="Times New Roman" w:hAnsi="Times New Roman" w:cs="Times New Roman"/>
          <w:b/>
          <w:sz w:val="24"/>
          <w:szCs w:val="24"/>
        </w:rPr>
        <w:t xml:space="preserve"> the meaning of</w:t>
      </w:r>
      <w:r w:rsidRPr="00DF2058">
        <w:rPr>
          <w:rFonts w:ascii="Times New Roman" w:hAnsi="Times New Roman" w:cs="Times New Roman"/>
          <w:b/>
          <w:sz w:val="24"/>
          <w:szCs w:val="24"/>
        </w:rPr>
        <w:t xml:space="preserve"> </w:t>
      </w:r>
      <w:r w:rsidR="005A5BF8" w:rsidRPr="00DF2058">
        <w:rPr>
          <w:rFonts w:ascii="Times New Roman" w:hAnsi="Times New Roman" w:cs="Times New Roman"/>
          <w:b/>
          <w:sz w:val="24"/>
          <w:szCs w:val="24"/>
        </w:rPr>
        <w:t>Cambridge companies</w:t>
      </w:r>
    </w:p>
    <w:p w:rsidR="005A5BF8" w:rsidRPr="00DF2058" w:rsidRDefault="00EF0548"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t xml:space="preserve">This is defined as a twenty-mile radius from the centre of Cambridge. All postcodes </w:t>
      </w:r>
      <w:r w:rsidR="00203992" w:rsidRPr="00DF2058">
        <w:rPr>
          <w:rFonts w:ascii="Times New Roman" w:hAnsi="Times New Roman" w:cs="Times New Roman"/>
          <w:sz w:val="24"/>
          <w:szCs w:val="24"/>
        </w:rPr>
        <w:t xml:space="preserve">(about 20,000) </w:t>
      </w:r>
      <w:r w:rsidRPr="00DF2058">
        <w:rPr>
          <w:rFonts w:ascii="Times New Roman" w:hAnsi="Times New Roman" w:cs="Times New Roman"/>
          <w:sz w:val="24"/>
          <w:szCs w:val="24"/>
        </w:rPr>
        <w:t xml:space="preserve">that fell within </w:t>
      </w:r>
      <w:r w:rsidR="00203992" w:rsidRPr="00DF2058">
        <w:rPr>
          <w:rFonts w:ascii="Times New Roman" w:hAnsi="Times New Roman" w:cs="Times New Roman"/>
          <w:sz w:val="24"/>
          <w:szCs w:val="24"/>
        </w:rPr>
        <w:t>this area were selected. Each postcode was assigned to an electoral ward.</w:t>
      </w:r>
    </w:p>
    <w:p w:rsidR="00EF0548" w:rsidRPr="00DF2058" w:rsidRDefault="005A5BF8"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t xml:space="preserve">The </w:t>
      </w:r>
      <w:r w:rsidRPr="00DF2058">
        <w:rPr>
          <w:rFonts w:ascii="Times New Roman" w:hAnsi="Times New Roman" w:cs="Times New Roman"/>
          <w:b/>
          <w:sz w:val="24"/>
          <w:szCs w:val="24"/>
        </w:rPr>
        <w:t>Cambridge based</w:t>
      </w:r>
      <w:r w:rsidRPr="00DF2058">
        <w:rPr>
          <w:rFonts w:ascii="Times New Roman" w:hAnsi="Times New Roman" w:cs="Times New Roman"/>
          <w:sz w:val="24"/>
          <w:szCs w:val="24"/>
        </w:rPr>
        <w:t xml:space="preserve"> companies were then selected as companies with either their registered office, or their primary trading address</w:t>
      </w:r>
      <w:r w:rsidR="008A6E6D" w:rsidRPr="00DF2058">
        <w:rPr>
          <w:rFonts w:ascii="Times New Roman" w:hAnsi="Times New Roman" w:cs="Times New Roman"/>
          <w:sz w:val="24"/>
          <w:szCs w:val="24"/>
        </w:rPr>
        <w:t>,</w:t>
      </w:r>
      <w:r w:rsidRPr="00DF2058">
        <w:rPr>
          <w:rFonts w:ascii="Times New Roman" w:hAnsi="Times New Roman" w:cs="Times New Roman"/>
          <w:sz w:val="24"/>
          <w:szCs w:val="24"/>
        </w:rPr>
        <w:t xml:space="preserve"> in one of the Cambridge Ahead postcodes. The location of each company for mapping purposes was taken to </w:t>
      </w:r>
      <w:r w:rsidR="00E330CF">
        <w:rPr>
          <w:rFonts w:ascii="Times New Roman" w:hAnsi="Times New Roman" w:cs="Times New Roman"/>
          <w:sz w:val="24"/>
          <w:szCs w:val="24"/>
        </w:rPr>
        <w:t xml:space="preserve">be </w:t>
      </w:r>
      <w:r w:rsidRPr="00DF2058">
        <w:rPr>
          <w:rFonts w:ascii="Times New Roman" w:hAnsi="Times New Roman" w:cs="Times New Roman"/>
          <w:sz w:val="24"/>
          <w:szCs w:val="24"/>
        </w:rPr>
        <w:t>the postcode of its primary trading address. In many cases the primary t</w:t>
      </w:r>
      <w:r w:rsidR="001E686F">
        <w:rPr>
          <w:rFonts w:ascii="Times New Roman" w:hAnsi="Times New Roman" w:cs="Times New Roman"/>
          <w:sz w:val="24"/>
          <w:szCs w:val="24"/>
        </w:rPr>
        <w:t>rading address was not provided.</w:t>
      </w:r>
      <w:r w:rsidRPr="00DF2058">
        <w:rPr>
          <w:rFonts w:ascii="Times New Roman" w:hAnsi="Times New Roman" w:cs="Times New Roman"/>
          <w:sz w:val="24"/>
          <w:szCs w:val="24"/>
        </w:rPr>
        <w:t xml:space="preserve"> In general, the registered office address was then used as the location postcode. However, in many cases local knowledge and internet searches enabled us to identify a primary trading address despite it not being found on FAME.</w:t>
      </w:r>
      <w:r w:rsidR="00470D41">
        <w:rPr>
          <w:rFonts w:ascii="Times New Roman" w:hAnsi="Times New Roman" w:cs="Times New Roman"/>
          <w:sz w:val="24"/>
          <w:szCs w:val="24"/>
        </w:rPr>
        <w:t xml:space="preserve"> The whole of a company’s operations is displayed at its primary trading address even if it operates at several locations in the Cambridge area.</w:t>
      </w:r>
    </w:p>
    <w:p w:rsidR="005A5BF8" w:rsidRPr="00DF2058" w:rsidRDefault="008A6E6D"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lastRenderedPageBreak/>
        <w:t xml:space="preserve">Another group of businesses was identified as </w:t>
      </w:r>
      <w:r w:rsidRPr="00DF2058">
        <w:rPr>
          <w:rFonts w:ascii="Times New Roman" w:hAnsi="Times New Roman" w:cs="Times New Roman"/>
          <w:b/>
          <w:sz w:val="24"/>
          <w:szCs w:val="24"/>
        </w:rPr>
        <w:t>Cambridge active</w:t>
      </w:r>
      <w:r w:rsidRPr="00DF2058">
        <w:rPr>
          <w:rFonts w:ascii="Times New Roman" w:hAnsi="Times New Roman" w:cs="Times New Roman"/>
          <w:sz w:val="24"/>
          <w:szCs w:val="24"/>
        </w:rPr>
        <w:t xml:space="preserve"> companies. These companies do not have their registered office, or their primary trading address, in one of the Cambridge Ahead postcodes but do operate within the Cambridge Ahead area. Most of these were identified since they gave a non-primary trading address within the Cambridge Ahead area. Others were identified from local company network lists, but were included only if the postcode of their trading location in the Cambridge Ahead area could be identified.</w:t>
      </w:r>
      <w:r w:rsidR="00EC383B" w:rsidRPr="00DF2058">
        <w:rPr>
          <w:rFonts w:ascii="Times New Roman" w:hAnsi="Times New Roman" w:cs="Times New Roman"/>
          <w:sz w:val="24"/>
          <w:szCs w:val="24"/>
        </w:rPr>
        <w:t xml:space="preserve"> Whilst the financial data for these companies are collected they are not reported since the</w:t>
      </w:r>
      <w:r w:rsidR="006F636D">
        <w:rPr>
          <w:rFonts w:ascii="Times New Roman" w:hAnsi="Times New Roman" w:cs="Times New Roman"/>
          <w:sz w:val="24"/>
          <w:szCs w:val="24"/>
        </w:rPr>
        <w:t>ir global figures</w:t>
      </w:r>
      <w:r w:rsidR="00EC383B" w:rsidRPr="00DF2058">
        <w:rPr>
          <w:rFonts w:ascii="Times New Roman" w:hAnsi="Times New Roman" w:cs="Times New Roman"/>
          <w:sz w:val="24"/>
          <w:szCs w:val="24"/>
        </w:rPr>
        <w:t xml:space="preserve"> </w:t>
      </w:r>
      <w:r w:rsidR="006F636D">
        <w:rPr>
          <w:rFonts w:ascii="Times New Roman" w:hAnsi="Times New Roman" w:cs="Times New Roman"/>
          <w:sz w:val="24"/>
          <w:szCs w:val="24"/>
        </w:rPr>
        <w:t>would be misleading</w:t>
      </w:r>
      <w:r w:rsidR="00EC383B" w:rsidRPr="00DF2058">
        <w:rPr>
          <w:rFonts w:ascii="Times New Roman" w:hAnsi="Times New Roman" w:cs="Times New Roman"/>
          <w:sz w:val="24"/>
          <w:szCs w:val="24"/>
        </w:rPr>
        <w:t xml:space="preserve"> for the Cambridge region.</w:t>
      </w:r>
    </w:p>
    <w:p w:rsidR="009A311A" w:rsidRPr="00DF2058" w:rsidRDefault="009A311A">
      <w:pPr>
        <w:rPr>
          <w:rFonts w:ascii="Times New Roman" w:hAnsi="Times New Roman" w:cs="Times New Roman"/>
          <w:sz w:val="24"/>
          <w:szCs w:val="24"/>
        </w:rPr>
      </w:pPr>
    </w:p>
    <w:p w:rsidR="002E7B4D" w:rsidRPr="00DF2058" w:rsidRDefault="002E7B4D">
      <w:pPr>
        <w:rPr>
          <w:rFonts w:ascii="Times New Roman" w:hAnsi="Times New Roman" w:cs="Times New Roman"/>
          <w:b/>
          <w:sz w:val="24"/>
          <w:szCs w:val="24"/>
        </w:rPr>
      </w:pPr>
      <w:r w:rsidRPr="00DF2058">
        <w:rPr>
          <w:rFonts w:ascii="Times New Roman" w:hAnsi="Times New Roman" w:cs="Times New Roman"/>
          <w:b/>
          <w:sz w:val="24"/>
          <w:szCs w:val="24"/>
        </w:rPr>
        <w:t>Period covered</w:t>
      </w:r>
      <w:r w:rsidR="008A6E6D" w:rsidRPr="00DF2058">
        <w:rPr>
          <w:rFonts w:ascii="Times New Roman" w:hAnsi="Times New Roman" w:cs="Times New Roman"/>
          <w:b/>
          <w:sz w:val="24"/>
          <w:szCs w:val="24"/>
        </w:rPr>
        <w:t xml:space="preserve"> and data collected</w:t>
      </w:r>
    </w:p>
    <w:p w:rsidR="00251A16" w:rsidRDefault="0045317D"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t>The 201</w:t>
      </w:r>
      <w:r w:rsidR="008C4464">
        <w:rPr>
          <w:rFonts w:ascii="Times New Roman" w:hAnsi="Times New Roman" w:cs="Times New Roman"/>
          <w:sz w:val="24"/>
          <w:szCs w:val="24"/>
        </w:rPr>
        <w:t>7</w:t>
      </w:r>
      <w:r w:rsidRPr="00DF2058">
        <w:rPr>
          <w:rFonts w:ascii="Times New Roman" w:hAnsi="Times New Roman" w:cs="Times New Roman"/>
          <w:sz w:val="24"/>
          <w:szCs w:val="24"/>
        </w:rPr>
        <w:t xml:space="preserve"> draw gathered data for </w:t>
      </w:r>
      <w:r w:rsidR="00470D41">
        <w:rPr>
          <w:rFonts w:ascii="Times New Roman" w:hAnsi="Times New Roman" w:cs="Times New Roman"/>
          <w:sz w:val="24"/>
          <w:szCs w:val="24"/>
        </w:rPr>
        <w:t>s</w:t>
      </w:r>
      <w:r w:rsidR="008C4464">
        <w:rPr>
          <w:rFonts w:ascii="Times New Roman" w:hAnsi="Times New Roman" w:cs="Times New Roman"/>
          <w:sz w:val="24"/>
          <w:szCs w:val="24"/>
        </w:rPr>
        <w:t>even</w:t>
      </w:r>
      <w:r w:rsidRPr="00DF2058">
        <w:rPr>
          <w:rFonts w:ascii="Times New Roman" w:hAnsi="Times New Roman" w:cs="Times New Roman"/>
          <w:sz w:val="24"/>
          <w:szCs w:val="24"/>
        </w:rPr>
        <w:t xml:space="preserve"> years: </w:t>
      </w:r>
      <w:r w:rsidR="008C4464">
        <w:rPr>
          <w:rFonts w:ascii="Times New Roman" w:hAnsi="Times New Roman" w:cs="Times New Roman"/>
          <w:sz w:val="24"/>
          <w:szCs w:val="24"/>
        </w:rPr>
        <w:t xml:space="preserve">2016/17; </w:t>
      </w:r>
      <w:r w:rsidR="00470D41">
        <w:rPr>
          <w:rFonts w:ascii="Times New Roman" w:hAnsi="Times New Roman" w:cs="Times New Roman"/>
          <w:sz w:val="24"/>
          <w:szCs w:val="24"/>
        </w:rPr>
        <w:t xml:space="preserve">2015/16; </w:t>
      </w:r>
      <w:r w:rsidRPr="00DF2058">
        <w:rPr>
          <w:rFonts w:ascii="Times New Roman" w:hAnsi="Times New Roman" w:cs="Times New Roman"/>
          <w:sz w:val="24"/>
          <w:szCs w:val="24"/>
        </w:rPr>
        <w:t>2014/15; 2013/14; 2012/13; 2011/12 and 2010/2011</w:t>
      </w:r>
      <w:r w:rsidR="00135DCA">
        <w:rPr>
          <w:rFonts w:ascii="Times New Roman" w:hAnsi="Times New Roman" w:cs="Times New Roman"/>
          <w:sz w:val="24"/>
          <w:szCs w:val="24"/>
        </w:rPr>
        <w:t xml:space="preserve">, thus providing </w:t>
      </w:r>
      <w:r w:rsidR="008C4464">
        <w:rPr>
          <w:rFonts w:ascii="Times New Roman" w:hAnsi="Times New Roman" w:cs="Times New Roman"/>
          <w:sz w:val="24"/>
          <w:szCs w:val="24"/>
        </w:rPr>
        <w:t>six</w:t>
      </w:r>
      <w:r w:rsidR="00135DCA">
        <w:rPr>
          <w:rFonts w:ascii="Times New Roman" w:hAnsi="Times New Roman" w:cs="Times New Roman"/>
          <w:sz w:val="24"/>
          <w:szCs w:val="24"/>
        </w:rPr>
        <w:t xml:space="preserve"> years of growth</w:t>
      </w:r>
      <w:r w:rsidRPr="00DF2058">
        <w:rPr>
          <w:rFonts w:ascii="Times New Roman" w:hAnsi="Times New Roman" w:cs="Times New Roman"/>
          <w:sz w:val="24"/>
          <w:szCs w:val="24"/>
        </w:rPr>
        <w:t>. The year 201</w:t>
      </w:r>
      <w:r w:rsidR="008C4464">
        <w:rPr>
          <w:rFonts w:ascii="Times New Roman" w:hAnsi="Times New Roman" w:cs="Times New Roman"/>
          <w:sz w:val="24"/>
          <w:szCs w:val="24"/>
        </w:rPr>
        <w:t>6</w:t>
      </w:r>
      <w:r w:rsidRPr="00DF2058">
        <w:rPr>
          <w:rFonts w:ascii="Times New Roman" w:hAnsi="Times New Roman" w:cs="Times New Roman"/>
          <w:sz w:val="24"/>
          <w:szCs w:val="24"/>
        </w:rPr>
        <w:t>/1</w:t>
      </w:r>
      <w:r w:rsidR="008C4464">
        <w:rPr>
          <w:rFonts w:ascii="Times New Roman" w:hAnsi="Times New Roman" w:cs="Times New Roman"/>
          <w:sz w:val="24"/>
          <w:szCs w:val="24"/>
        </w:rPr>
        <w:t>7</w:t>
      </w:r>
      <w:r w:rsidRPr="00DF2058">
        <w:rPr>
          <w:rFonts w:ascii="Times New Roman" w:hAnsi="Times New Roman" w:cs="Times New Roman"/>
          <w:sz w:val="24"/>
          <w:szCs w:val="24"/>
        </w:rPr>
        <w:t xml:space="preserve"> includes data for companies for accounting year ends between 6</w:t>
      </w:r>
      <w:r w:rsidRPr="00DF2058">
        <w:rPr>
          <w:rFonts w:ascii="Times New Roman" w:hAnsi="Times New Roman" w:cs="Times New Roman"/>
          <w:sz w:val="24"/>
          <w:szCs w:val="24"/>
          <w:vertAlign w:val="superscript"/>
        </w:rPr>
        <w:t>th</w:t>
      </w:r>
      <w:r w:rsidRPr="00DF2058">
        <w:rPr>
          <w:rFonts w:ascii="Times New Roman" w:hAnsi="Times New Roman" w:cs="Times New Roman"/>
          <w:sz w:val="24"/>
          <w:szCs w:val="24"/>
        </w:rPr>
        <w:t xml:space="preserve"> April 201</w:t>
      </w:r>
      <w:r w:rsidR="008C4464">
        <w:rPr>
          <w:rFonts w:ascii="Times New Roman" w:hAnsi="Times New Roman" w:cs="Times New Roman"/>
          <w:sz w:val="24"/>
          <w:szCs w:val="24"/>
        </w:rPr>
        <w:t>6</w:t>
      </w:r>
      <w:r w:rsidRPr="00DF2058">
        <w:rPr>
          <w:rFonts w:ascii="Times New Roman" w:hAnsi="Times New Roman" w:cs="Times New Roman"/>
          <w:sz w:val="24"/>
          <w:szCs w:val="24"/>
        </w:rPr>
        <w:t xml:space="preserve"> and 5</w:t>
      </w:r>
      <w:r w:rsidRPr="00DF2058">
        <w:rPr>
          <w:rFonts w:ascii="Times New Roman" w:hAnsi="Times New Roman" w:cs="Times New Roman"/>
          <w:sz w:val="24"/>
          <w:szCs w:val="24"/>
          <w:vertAlign w:val="superscript"/>
        </w:rPr>
        <w:t>th</w:t>
      </w:r>
      <w:r w:rsidRPr="00DF2058">
        <w:rPr>
          <w:rFonts w:ascii="Times New Roman" w:hAnsi="Times New Roman" w:cs="Times New Roman"/>
          <w:sz w:val="24"/>
          <w:szCs w:val="24"/>
        </w:rPr>
        <w:t xml:space="preserve"> April 201</w:t>
      </w:r>
      <w:r w:rsidR="008C4464">
        <w:rPr>
          <w:rFonts w:ascii="Times New Roman" w:hAnsi="Times New Roman" w:cs="Times New Roman"/>
          <w:sz w:val="24"/>
          <w:szCs w:val="24"/>
        </w:rPr>
        <w:t>7</w:t>
      </w:r>
      <w:r w:rsidRPr="00DF2058">
        <w:rPr>
          <w:rFonts w:ascii="Times New Roman" w:hAnsi="Times New Roman" w:cs="Times New Roman"/>
          <w:sz w:val="24"/>
          <w:szCs w:val="24"/>
        </w:rPr>
        <w:t xml:space="preserve">. </w:t>
      </w:r>
      <w:r w:rsidR="00251A16" w:rsidRPr="00DF2058">
        <w:rPr>
          <w:rFonts w:ascii="Times New Roman" w:hAnsi="Times New Roman" w:cs="Times New Roman"/>
          <w:sz w:val="24"/>
          <w:szCs w:val="24"/>
        </w:rPr>
        <w:t>It was decided to select any company in the Cambridge Ahead area that had be</w:t>
      </w:r>
      <w:r w:rsidR="009A311A" w:rsidRPr="00DF2058">
        <w:rPr>
          <w:rFonts w:ascii="Times New Roman" w:hAnsi="Times New Roman" w:cs="Times New Roman"/>
          <w:sz w:val="24"/>
          <w:szCs w:val="24"/>
        </w:rPr>
        <w:t>e</w:t>
      </w:r>
      <w:r w:rsidR="00251A16" w:rsidRPr="00DF2058">
        <w:rPr>
          <w:rFonts w:ascii="Times New Roman" w:hAnsi="Times New Roman" w:cs="Times New Roman"/>
          <w:sz w:val="24"/>
          <w:szCs w:val="24"/>
        </w:rPr>
        <w:t xml:space="preserve">n active in any of these </w:t>
      </w:r>
      <w:r w:rsidR="00470D41">
        <w:rPr>
          <w:rFonts w:ascii="Times New Roman" w:hAnsi="Times New Roman" w:cs="Times New Roman"/>
          <w:sz w:val="24"/>
          <w:szCs w:val="24"/>
        </w:rPr>
        <w:t>s</w:t>
      </w:r>
      <w:r w:rsidR="008C4464">
        <w:rPr>
          <w:rFonts w:ascii="Times New Roman" w:hAnsi="Times New Roman" w:cs="Times New Roman"/>
          <w:sz w:val="24"/>
          <w:szCs w:val="24"/>
        </w:rPr>
        <w:t>even</w:t>
      </w:r>
      <w:r w:rsidR="00470D41">
        <w:rPr>
          <w:rFonts w:ascii="Times New Roman" w:hAnsi="Times New Roman" w:cs="Times New Roman"/>
          <w:sz w:val="24"/>
          <w:szCs w:val="24"/>
        </w:rPr>
        <w:t xml:space="preserve"> </w:t>
      </w:r>
      <w:r w:rsidR="00251A16" w:rsidRPr="00DF2058">
        <w:rPr>
          <w:rFonts w:ascii="Times New Roman" w:hAnsi="Times New Roman" w:cs="Times New Roman"/>
          <w:sz w:val="24"/>
          <w:szCs w:val="24"/>
        </w:rPr>
        <w:t>years</w:t>
      </w:r>
      <w:r w:rsidR="00470D41">
        <w:rPr>
          <w:rFonts w:ascii="Times New Roman" w:hAnsi="Times New Roman" w:cs="Times New Roman"/>
          <w:sz w:val="24"/>
          <w:szCs w:val="24"/>
        </w:rPr>
        <w:t xml:space="preserve"> and these are included on the database</w:t>
      </w:r>
      <w:r w:rsidR="00251A16" w:rsidRPr="00DF2058">
        <w:rPr>
          <w:rFonts w:ascii="Times New Roman" w:hAnsi="Times New Roman" w:cs="Times New Roman"/>
          <w:sz w:val="24"/>
          <w:szCs w:val="24"/>
        </w:rPr>
        <w:t>.</w:t>
      </w:r>
      <w:r w:rsidR="00470D41">
        <w:rPr>
          <w:rFonts w:ascii="Times New Roman" w:hAnsi="Times New Roman" w:cs="Times New Roman"/>
          <w:sz w:val="24"/>
          <w:szCs w:val="24"/>
        </w:rPr>
        <w:t xml:space="preserve"> However, the Cluster Map shows only active companies, not those that have died, or moved away.</w:t>
      </w:r>
    </w:p>
    <w:p w:rsidR="00470D41" w:rsidRPr="00DF2058" w:rsidRDefault="00470D41" w:rsidP="004850B6">
      <w:pPr>
        <w:spacing w:line="360" w:lineRule="auto"/>
        <w:rPr>
          <w:rFonts w:ascii="Times New Roman" w:hAnsi="Times New Roman" w:cs="Times New Roman"/>
          <w:sz w:val="24"/>
          <w:szCs w:val="24"/>
        </w:rPr>
      </w:pPr>
      <w:r>
        <w:rPr>
          <w:rFonts w:ascii="Times New Roman" w:hAnsi="Times New Roman" w:cs="Times New Roman"/>
          <w:sz w:val="24"/>
          <w:szCs w:val="24"/>
        </w:rPr>
        <w:t>Since we have to wait for companies to audit and approve their accounts and then file them with Companies House, there is an inevitable lag in the data portrayed on the map. The annual update is carried out in the autumn and becomes available at the start of the following year.</w:t>
      </w:r>
      <w:r w:rsidR="00F84433">
        <w:rPr>
          <w:rFonts w:ascii="Times New Roman" w:hAnsi="Times New Roman" w:cs="Times New Roman"/>
          <w:sz w:val="24"/>
          <w:szCs w:val="24"/>
        </w:rPr>
        <w:t xml:space="preserve"> See Annex 2 for details of the 201</w:t>
      </w:r>
      <w:r w:rsidR="00014193">
        <w:rPr>
          <w:rFonts w:ascii="Times New Roman" w:hAnsi="Times New Roman" w:cs="Times New Roman"/>
          <w:sz w:val="24"/>
          <w:szCs w:val="24"/>
        </w:rPr>
        <w:t>6</w:t>
      </w:r>
      <w:r w:rsidR="00F84433">
        <w:rPr>
          <w:rFonts w:ascii="Times New Roman" w:hAnsi="Times New Roman" w:cs="Times New Roman"/>
          <w:sz w:val="24"/>
          <w:szCs w:val="24"/>
        </w:rPr>
        <w:t>/1</w:t>
      </w:r>
      <w:r w:rsidR="00014193">
        <w:rPr>
          <w:rFonts w:ascii="Times New Roman" w:hAnsi="Times New Roman" w:cs="Times New Roman"/>
          <w:sz w:val="24"/>
          <w:szCs w:val="24"/>
        </w:rPr>
        <w:t>7</w:t>
      </w:r>
      <w:r w:rsidR="00F84433">
        <w:rPr>
          <w:rFonts w:ascii="Times New Roman" w:hAnsi="Times New Roman" w:cs="Times New Roman"/>
          <w:sz w:val="24"/>
          <w:szCs w:val="24"/>
        </w:rPr>
        <w:t xml:space="preserve"> data update that was completed at the end of </w:t>
      </w:r>
      <w:r w:rsidR="00014193">
        <w:rPr>
          <w:rFonts w:ascii="Times New Roman" w:hAnsi="Times New Roman" w:cs="Times New Roman"/>
          <w:sz w:val="24"/>
          <w:szCs w:val="24"/>
        </w:rPr>
        <w:t>March 2018</w:t>
      </w:r>
      <w:r w:rsidR="00F84433">
        <w:rPr>
          <w:rFonts w:ascii="Times New Roman" w:hAnsi="Times New Roman" w:cs="Times New Roman"/>
          <w:sz w:val="24"/>
          <w:szCs w:val="24"/>
        </w:rPr>
        <w:t>.</w:t>
      </w:r>
    </w:p>
    <w:p w:rsidR="00251A16" w:rsidRPr="00DF2058" w:rsidRDefault="00251A16" w:rsidP="004850B6">
      <w:pPr>
        <w:spacing w:after="0" w:line="360" w:lineRule="auto"/>
        <w:rPr>
          <w:rFonts w:ascii="Times New Roman" w:hAnsi="Times New Roman" w:cs="Times New Roman"/>
          <w:sz w:val="24"/>
          <w:szCs w:val="24"/>
        </w:rPr>
      </w:pPr>
      <w:r w:rsidRPr="00DF2058">
        <w:rPr>
          <w:rFonts w:ascii="Times New Roman" w:hAnsi="Times New Roman" w:cs="Times New Roman"/>
          <w:sz w:val="24"/>
          <w:szCs w:val="24"/>
        </w:rPr>
        <w:t>The data gathered for each company included</w:t>
      </w:r>
      <w:r w:rsidR="00B02090" w:rsidRPr="00DF2058">
        <w:rPr>
          <w:rFonts w:ascii="Times New Roman" w:hAnsi="Times New Roman" w:cs="Times New Roman"/>
          <w:sz w:val="24"/>
          <w:szCs w:val="24"/>
        </w:rPr>
        <w:t>:</w:t>
      </w:r>
      <w:r w:rsidRPr="00DF2058">
        <w:rPr>
          <w:rFonts w:ascii="Times New Roman" w:hAnsi="Times New Roman" w:cs="Times New Roman"/>
          <w:sz w:val="24"/>
          <w:szCs w:val="24"/>
        </w:rPr>
        <w:t xml:space="preserve"> Company name</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Registered number</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Registered accounts type</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Legal form</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Current Market Cap</w:t>
      </w:r>
      <w:r w:rsidR="00B02090" w:rsidRPr="00DF2058">
        <w:rPr>
          <w:rFonts w:ascii="Times New Roman" w:hAnsi="Times New Roman" w:cs="Times New Roman"/>
          <w:sz w:val="24"/>
          <w:szCs w:val="24"/>
        </w:rPr>
        <w:t xml:space="preserve">italisation; </w:t>
      </w:r>
      <w:r w:rsidRPr="00DF2058">
        <w:rPr>
          <w:rFonts w:ascii="Times New Roman" w:hAnsi="Times New Roman" w:cs="Times New Roman"/>
          <w:sz w:val="24"/>
          <w:szCs w:val="24"/>
        </w:rPr>
        <w:t>Trade Description</w:t>
      </w:r>
      <w:r w:rsidR="00B02090" w:rsidRPr="00DF2058">
        <w:rPr>
          <w:rFonts w:ascii="Times New Roman" w:hAnsi="Times New Roman" w:cs="Times New Roman"/>
          <w:sz w:val="24"/>
          <w:szCs w:val="24"/>
        </w:rPr>
        <w:t xml:space="preserve">; </w:t>
      </w:r>
      <w:r w:rsidR="00890FC8" w:rsidRPr="00DF2058">
        <w:rPr>
          <w:rFonts w:ascii="Times New Roman" w:hAnsi="Times New Roman" w:cs="Times New Roman"/>
          <w:sz w:val="24"/>
          <w:szCs w:val="24"/>
        </w:rPr>
        <w:t>its Sector according to the Standard Industrial Classification (</w:t>
      </w:r>
      <w:r w:rsidRPr="00DF2058">
        <w:rPr>
          <w:rFonts w:ascii="Times New Roman" w:hAnsi="Times New Roman" w:cs="Times New Roman"/>
          <w:sz w:val="24"/>
          <w:szCs w:val="24"/>
        </w:rPr>
        <w:t>SIC</w:t>
      </w:r>
      <w:r w:rsidR="00890FC8" w:rsidRPr="00DF2058">
        <w:rPr>
          <w:rFonts w:ascii="Times New Roman" w:hAnsi="Times New Roman" w:cs="Times New Roman"/>
          <w:sz w:val="24"/>
          <w:szCs w:val="24"/>
        </w:rPr>
        <w:t>)</w:t>
      </w:r>
      <w:r w:rsidRPr="00DF2058">
        <w:rPr>
          <w:rFonts w:ascii="Times New Roman" w:hAnsi="Times New Roman" w:cs="Times New Roman"/>
          <w:sz w:val="24"/>
          <w:szCs w:val="24"/>
        </w:rPr>
        <w:t xml:space="preserve"> 2007</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Peer Group</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IPO date</w:t>
      </w:r>
      <w:r w:rsidR="00B02090" w:rsidRPr="00DF2058">
        <w:rPr>
          <w:rFonts w:ascii="Times New Roman" w:hAnsi="Times New Roman" w:cs="Times New Roman"/>
          <w:sz w:val="24"/>
          <w:szCs w:val="24"/>
        </w:rPr>
        <w:t xml:space="preserve">; </w:t>
      </w:r>
      <w:r w:rsidR="00890FC8" w:rsidRPr="00DF2058">
        <w:rPr>
          <w:rFonts w:ascii="Times New Roman" w:hAnsi="Times New Roman" w:cs="Times New Roman"/>
          <w:sz w:val="24"/>
          <w:szCs w:val="24"/>
        </w:rPr>
        <w:t xml:space="preserve">current </w:t>
      </w:r>
      <w:r w:rsidRPr="00DF2058">
        <w:rPr>
          <w:rFonts w:ascii="Times New Roman" w:hAnsi="Times New Roman" w:cs="Times New Roman"/>
          <w:sz w:val="24"/>
          <w:szCs w:val="24"/>
        </w:rPr>
        <w:t>Immediate Shareholder information</w:t>
      </w:r>
      <w:r w:rsidR="00B02090" w:rsidRPr="00DF2058">
        <w:rPr>
          <w:rFonts w:ascii="Times New Roman" w:hAnsi="Times New Roman" w:cs="Times New Roman"/>
          <w:sz w:val="24"/>
          <w:szCs w:val="24"/>
        </w:rPr>
        <w:t xml:space="preserve">; </w:t>
      </w:r>
      <w:r w:rsidR="00890FC8" w:rsidRPr="00DF2058">
        <w:rPr>
          <w:rFonts w:ascii="Times New Roman" w:hAnsi="Times New Roman" w:cs="Times New Roman"/>
          <w:sz w:val="24"/>
          <w:szCs w:val="24"/>
        </w:rPr>
        <w:t xml:space="preserve">current </w:t>
      </w:r>
      <w:r w:rsidRPr="00DF2058">
        <w:rPr>
          <w:rFonts w:ascii="Times New Roman" w:hAnsi="Times New Roman" w:cs="Times New Roman"/>
          <w:sz w:val="24"/>
          <w:szCs w:val="24"/>
        </w:rPr>
        <w:t>Domestic and Global ultimate owner</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Registered office address and postcode</w:t>
      </w:r>
      <w:r w:rsidR="00B02090" w:rsidRPr="00DF2058">
        <w:rPr>
          <w:rFonts w:ascii="Times New Roman" w:hAnsi="Times New Roman" w:cs="Times New Roman"/>
          <w:sz w:val="24"/>
          <w:szCs w:val="24"/>
        </w:rPr>
        <w:t xml:space="preserve">; </w:t>
      </w:r>
      <w:r w:rsidRPr="00DF2058">
        <w:rPr>
          <w:rFonts w:ascii="Times New Roman" w:hAnsi="Times New Roman" w:cs="Times New Roman"/>
          <w:sz w:val="24"/>
          <w:szCs w:val="24"/>
        </w:rPr>
        <w:t>Primary trading address &amp; employment</w:t>
      </w:r>
      <w:r w:rsidR="00B02090" w:rsidRPr="00DF2058">
        <w:rPr>
          <w:rFonts w:ascii="Times New Roman" w:hAnsi="Times New Roman" w:cs="Times New Roman"/>
          <w:sz w:val="24"/>
          <w:szCs w:val="24"/>
        </w:rPr>
        <w:t xml:space="preserve"> when provided; and </w:t>
      </w:r>
      <w:r w:rsidRPr="00DF2058">
        <w:rPr>
          <w:rFonts w:ascii="Times New Roman" w:hAnsi="Times New Roman" w:cs="Times New Roman"/>
          <w:sz w:val="24"/>
          <w:szCs w:val="24"/>
        </w:rPr>
        <w:t>Other trading address in Cambridge area</w:t>
      </w:r>
      <w:r w:rsidR="00B02090" w:rsidRPr="00DF2058">
        <w:rPr>
          <w:rFonts w:ascii="Times New Roman" w:hAnsi="Times New Roman" w:cs="Times New Roman"/>
          <w:sz w:val="24"/>
          <w:szCs w:val="24"/>
        </w:rPr>
        <w:t xml:space="preserve"> and employment when provided.</w:t>
      </w:r>
    </w:p>
    <w:p w:rsidR="00B02090" w:rsidRPr="00DF2058" w:rsidRDefault="00B02090" w:rsidP="004850B6">
      <w:pPr>
        <w:spacing w:after="0" w:line="360" w:lineRule="auto"/>
        <w:rPr>
          <w:rFonts w:ascii="Times New Roman" w:hAnsi="Times New Roman" w:cs="Times New Roman"/>
          <w:sz w:val="24"/>
          <w:szCs w:val="24"/>
        </w:rPr>
      </w:pPr>
    </w:p>
    <w:p w:rsidR="00251A16" w:rsidRDefault="00B02090" w:rsidP="004850B6">
      <w:pPr>
        <w:spacing w:after="0" w:line="360" w:lineRule="auto"/>
        <w:rPr>
          <w:rFonts w:ascii="Times New Roman" w:hAnsi="Times New Roman" w:cs="Times New Roman"/>
          <w:sz w:val="24"/>
          <w:szCs w:val="24"/>
        </w:rPr>
      </w:pPr>
      <w:r w:rsidRPr="00DF2058">
        <w:rPr>
          <w:rFonts w:ascii="Times New Roman" w:hAnsi="Times New Roman" w:cs="Times New Roman"/>
          <w:sz w:val="24"/>
          <w:szCs w:val="24"/>
        </w:rPr>
        <w:t xml:space="preserve">The financial information included: </w:t>
      </w:r>
      <w:r w:rsidR="00251A16" w:rsidRPr="00DF2058">
        <w:rPr>
          <w:rFonts w:ascii="Times New Roman" w:hAnsi="Times New Roman" w:cs="Times New Roman"/>
          <w:sz w:val="24"/>
          <w:szCs w:val="24"/>
        </w:rPr>
        <w:t xml:space="preserve">Accounting date; total assets; employment; and turnover for each of the </w:t>
      </w:r>
      <w:r w:rsidR="001E686F" w:rsidRPr="00932EB4">
        <w:rPr>
          <w:rFonts w:ascii="Times New Roman" w:hAnsi="Times New Roman" w:cs="Times New Roman"/>
          <w:sz w:val="24"/>
          <w:szCs w:val="24"/>
        </w:rPr>
        <w:t>seven</w:t>
      </w:r>
      <w:r w:rsidR="00251A16" w:rsidRPr="00932EB4">
        <w:rPr>
          <w:rFonts w:ascii="Times New Roman" w:hAnsi="Times New Roman" w:cs="Times New Roman"/>
          <w:sz w:val="24"/>
          <w:szCs w:val="24"/>
        </w:rPr>
        <w:t xml:space="preserve"> y</w:t>
      </w:r>
      <w:r w:rsidR="00251A16" w:rsidRPr="00DF2058">
        <w:rPr>
          <w:rFonts w:ascii="Times New Roman" w:hAnsi="Times New Roman" w:cs="Times New Roman"/>
          <w:sz w:val="24"/>
          <w:szCs w:val="24"/>
        </w:rPr>
        <w:t>ears if available.</w:t>
      </w:r>
      <w:r w:rsidRPr="00DF2058">
        <w:rPr>
          <w:rFonts w:ascii="Times New Roman" w:hAnsi="Times New Roman" w:cs="Times New Roman"/>
          <w:sz w:val="24"/>
          <w:szCs w:val="24"/>
        </w:rPr>
        <w:t xml:space="preserve"> </w:t>
      </w:r>
      <w:r w:rsidR="00470D41">
        <w:rPr>
          <w:rFonts w:ascii="Times New Roman" w:hAnsi="Times New Roman" w:cs="Times New Roman"/>
          <w:sz w:val="24"/>
          <w:szCs w:val="24"/>
        </w:rPr>
        <w:t xml:space="preserve">It should be noted that employment represents the average number of employees (including part-time) over the accounting year. </w:t>
      </w:r>
      <w:r w:rsidR="00251A16" w:rsidRPr="00DF2058">
        <w:rPr>
          <w:rFonts w:ascii="Times New Roman" w:hAnsi="Times New Roman" w:cs="Times New Roman"/>
          <w:sz w:val="24"/>
          <w:szCs w:val="24"/>
        </w:rPr>
        <w:t xml:space="preserve">All changes of </w:t>
      </w:r>
      <w:r w:rsidR="00251A16" w:rsidRPr="00DF2058">
        <w:rPr>
          <w:rFonts w:ascii="Times New Roman" w:hAnsi="Times New Roman" w:cs="Times New Roman"/>
          <w:sz w:val="24"/>
          <w:szCs w:val="24"/>
        </w:rPr>
        <w:lastRenderedPageBreak/>
        <w:t xml:space="preserve">accounting dates were identified and </w:t>
      </w:r>
      <w:r w:rsidRPr="00DF2058">
        <w:rPr>
          <w:rFonts w:ascii="Times New Roman" w:hAnsi="Times New Roman" w:cs="Times New Roman"/>
          <w:sz w:val="24"/>
          <w:szCs w:val="24"/>
        </w:rPr>
        <w:t>adjustments were made where necessary to annualise the accounting information.</w:t>
      </w:r>
    </w:p>
    <w:p w:rsidR="00470D41" w:rsidRPr="00DF2058" w:rsidRDefault="00470D41" w:rsidP="004850B6">
      <w:pPr>
        <w:spacing w:after="0" w:line="360" w:lineRule="auto"/>
        <w:rPr>
          <w:rFonts w:ascii="Times New Roman" w:hAnsi="Times New Roman" w:cs="Times New Roman"/>
          <w:sz w:val="24"/>
          <w:szCs w:val="24"/>
        </w:rPr>
      </w:pPr>
      <w:r>
        <w:rPr>
          <w:rFonts w:ascii="Times New Roman" w:hAnsi="Times New Roman" w:cs="Times New Roman"/>
          <w:sz w:val="24"/>
          <w:szCs w:val="24"/>
        </w:rPr>
        <w:t>Some companies will move their trading activity between holding companies and subsidiaries. Where appropriate</w:t>
      </w:r>
      <w:r w:rsidR="003B147B">
        <w:rPr>
          <w:rFonts w:ascii="Times New Roman" w:hAnsi="Times New Roman" w:cs="Times New Roman"/>
          <w:sz w:val="24"/>
          <w:szCs w:val="24"/>
        </w:rPr>
        <w:t xml:space="preserve"> (and rather than showing an artificial death and birth) the past data for the former company is attached to the new company to give a continuous flow of annual data.</w:t>
      </w:r>
    </w:p>
    <w:p w:rsidR="00B02090" w:rsidRPr="00DF2058" w:rsidRDefault="00B02090" w:rsidP="00B02090">
      <w:pPr>
        <w:spacing w:after="0"/>
        <w:rPr>
          <w:rFonts w:ascii="Times New Roman" w:hAnsi="Times New Roman" w:cs="Times New Roman"/>
          <w:sz w:val="24"/>
          <w:szCs w:val="24"/>
        </w:rPr>
      </w:pPr>
    </w:p>
    <w:p w:rsidR="00B02090" w:rsidRPr="00DF2058" w:rsidRDefault="00B02090" w:rsidP="00B02090">
      <w:pPr>
        <w:spacing w:after="0"/>
        <w:rPr>
          <w:rFonts w:ascii="Times New Roman" w:hAnsi="Times New Roman" w:cs="Times New Roman"/>
          <w:b/>
          <w:sz w:val="24"/>
          <w:szCs w:val="24"/>
        </w:rPr>
      </w:pPr>
      <w:r w:rsidRPr="00DF2058">
        <w:rPr>
          <w:rFonts w:ascii="Times New Roman" w:hAnsi="Times New Roman" w:cs="Times New Roman"/>
          <w:b/>
          <w:sz w:val="24"/>
          <w:szCs w:val="24"/>
        </w:rPr>
        <w:t>Treatment of parents and subsidiaries</w:t>
      </w:r>
    </w:p>
    <w:p w:rsidR="00B02090" w:rsidRPr="00DF2058" w:rsidRDefault="00B02090" w:rsidP="00B02090">
      <w:pPr>
        <w:spacing w:after="0"/>
        <w:rPr>
          <w:rFonts w:ascii="Times New Roman" w:hAnsi="Times New Roman" w:cs="Times New Roman"/>
          <w:sz w:val="24"/>
          <w:szCs w:val="24"/>
        </w:rPr>
      </w:pPr>
    </w:p>
    <w:p w:rsidR="00B02090" w:rsidRPr="00DF2058" w:rsidRDefault="00B02090" w:rsidP="004850B6">
      <w:pPr>
        <w:spacing w:after="0" w:line="360" w:lineRule="auto"/>
        <w:rPr>
          <w:rFonts w:ascii="Times New Roman" w:hAnsi="Times New Roman" w:cs="Times New Roman"/>
          <w:sz w:val="24"/>
          <w:szCs w:val="24"/>
        </w:rPr>
      </w:pPr>
      <w:r w:rsidRPr="00DF2058">
        <w:rPr>
          <w:rFonts w:ascii="Times New Roman" w:hAnsi="Times New Roman" w:cs="Times New Roman"/>
          <w:sz w:val="24"/>
          <w:szCs w:val="24"/>
        </w:rPr>
        <w:t xml:space="preserve">This is probably the most difficult aspect of building the database and requires judgements to be made. First, </w:t>
      </w:r>
      <w:r w:rsidR="00EC383B" w:rsidRPr="00DF2058">
        <w:rPr>
          <w:rFonts w:ascii="Times New Roman" w:hAnsi="Times New Roman" w:cs="Times New Roman"/>
          <w:sz w:val="24"/>
          <w:szCs w:val="24"/>
        </w:rPr>
        <w:t xml:space="preserve">Cambridge based </w:t>
      </w:r>
      <w:r w:rsidRPr="00DF2058">
        <w:rPr>
          <w:rFonts w:ascii="Times New Roman" w:hAnsi="Times New Roman" w:cs="Times New Roman"/>
          <w:sz w:val="24"/>
          <w:szCs w:val="24"/>
        </w:rPr>
        <w:t xml:space="preserve">companies with no parent and no subsidiaries on the database can be </w:t>
      </w:r>
      <w:r w:rsidR="00135DCA">
        <w:rPr>
          <w:rFonts w:ascii="Times New Roman" w:hAnsi="Times New Roman" w:cs="Times New Roman"/>
          <w:sz w:val="24"/>
          <w:szCs w:val="24"/>
        </w:rPr>
        <w:t>retained in the dataset</w:t>
      </w:r>
      <w:r w:rsidR="00EC383B" w:rsidRPr="00DF2058">
        <w:rPr>
          <w:rFonts w:ascii="Times New Roman" w:hAnsi="Times New Roman" w:cs="Times New Roman"/>
          <w:sz w:val="24"/>
          <w:szCs w:val="24"/>
        </w:rPr>
        <w:t xml:space="preserve">. Second, </w:t>
      </w:r>
      <w:r w:rsidR="00135DCA">
        <w:rPr>
          <w:rFonts w:ascii="Times New Roman" w:hAnsi="Times New Roman" w:cs="Times New Roman"/>
          <w:sz w:val="24"/>
          <w:szCs w:val="24"/>
        </w:rPr>
        <w:t xml:space="preserve">for the remaining companies, </w:t>
      </w:r>
      <w:r w:rsidR="00EC383B" w:rsidRPr="00DF2058">
        <w:rPr>
          <w:rFonts w:ascii="Times New Roman" w:hAnsi="Times New Roman" w:cs="Times New Roman"/>
          <w:sz w:val="24"/>
          <w:szCs w:val="24"/>
        </w:rPr>
        <w:t xml:space="preserve">all parents and their subsidiaries are gathered together. Third, if the parent is on the database and includes the information about its subsidiaries in its consolidated accounts, then the subsidiaries are dropped and only the parent is retained on the database. Fourth, for those companies with a parent that is a holding company and does not report the consolidated accounts for itself and its subsidiaries, the parent company is removed from the database and the subsidiaries are retained. Fifth, the same procedure is carried out for Cambridge active companies. This means that it is possible to have a parent as Cambridge active </w:t>
      </w:r>
      <w:r w:rsidR="003B374E">
        <w:rPr>
          <w:rFonts w:ascii="Times New Roman" w:hAnsi="Times New Roman" w:cs="Times New Roman"/>
          <w:sz w:val="24"/>
          <w:szCs w:val="24"/>
        </w:rPr>
        <w:t xml:space="preserve">(e.g. AstraZeneca) </w:t>
      </w:r>
      <w:r w:rsidR="00EC383B" w:rsidRPr="00DF2058">
        <w:rPr>
          <w:rFonts w:ascii="Times New Roman" w:hAnsi="Times New Roman" w:cs="Times New Roman"/>
          <w:sz w:val="24"/>
          <w:szCs w:val="24"/>
        </w:rPr>
        <w:t xml:space="preserve">and its subsidiaries </w:t>
      </w:r>
      <w:r w:rsidR="003B374E">
        <w:rPr>
          <w:rFonts w:ascii="Times New Roman" w:hAnsi="Times New Roman" w:cs="Times New Roman"/>
          <w:sz w:val="24"/>
          <w:szCs w:val="24"/>
        </w:rPr>
        <w:t xml:space="preserve">(e.g. Medimmune) </w:t>
      </w:r>
      <w:r w:rsidR="00EC383B" w:rsidRPr="00DF2058">
        <w:rPr>
          <w:rFonts w:ascii="Times New Roman" w:hAnsi="Times New Roman" w:cs="Times New Roman"/>
          <w:sz w:val="24"/>
          <w:szCs w:val="24"/>
        </w:rPr>
        <w:t>as Cambridge based</w:t>
      </w:r>
      <w:r w:rsidR="005A15FE" w:rsidRPr="00DF2058">
        <w:rPr>
          <w:rFonts w:ascii="Times New Roman" w:hAnsi="Times New Roman" w:cs="Times New Roman"/>
          <w:sz w:val="24"/>
          <w:szCs w:val="24"/>
        </w:rPr>
        <w:t xml:space="preserve"> since this will not involve double-counting of financial data</w:t>
      </w:r>
      <w:r w:rsidR="00EC383B" w:rsidRPr="00DF2058">
        <w:rPr>
          <w:rFonts w:ascii="Times New Roman" w:hAnsi="Times New Roman" w:cs="Times New Roman"/>
          <w:sz w:val="24"/>
          <w:szCs w:val="24"/>
        </w:rPr>
        <w:t>.</w:t>
      </w:r>
    </w:p>
    <w:p w:rsidR="005A15FE" w:rsidRPr="00DF2058" w:rsidRDefault="005A15FE" w:rsidP="004850B6">
      <w:pPr>
        <w:spacing w:after="0" w:line="360" w:lineRule="auto"/>
        <w:rPr>
          <w:rFonts w:ascii="Times New Roman" w:hAnsi="Times New Roman" w:cs="Times New Roman"/>
          <w:sz w:val="24"/>
          <w:szCs w:val="24"/>
        </w:rPr>
      </w:pPr>
    </w:p>
    <w:p w:rsidR="00057ABF" w:rsidRPr="00DF2058" w:rsidRDefault="005A15FE" w:rsidP="00057ABF">
      <w:pPr>
        <w:spacing w:after="0" w:line="360" w:lineRule="auto"/>
        <w:rPr>
          <w:rFonts w:ascii="Times New Roman" w:hAnsi="Times New Roman" w:cs="Times New Roman"/>
          <w:sz w:val="24"/>
          <w:szCs w:val="24"/>
        </w:rPr>
      </w:pPr>
      <w:r w:rsidRPr="00DF2058">
        <w:rPr>
          <w:rFonts w:ascii="Times New Roman" w:hAnsi="Times New Roman" w:cs="Times New Roman"/>
          <w:sz w:val="24"/>
          <w:szCs w:val="24"/>
        </w:rPr>
        <w:t>There are also cases where a company ceases to trade because it transfers its activities to a new company registration. This would show up on the database as a death and a birth</w:t>
      </w:r>
      <w:r w:rsidR="00890FC8" w:rsidRPr="00DF2058">
        <w:rPr>
          <w:rFonts w:ascii="Times New Roman" w:hAnsi="Times New Roman" w:cs="Times New Roman"/>
          <w:sz w:val="24"/>
          <w:szCs w:val="24"/>
        </w:rPr>
        <w:t xml:space="preserve"> whilst no real change has occurred in its economic activity. We have attempted to identify such cases and to show the company as continuing. Another problem is the acquisition of a Cambridge based company by a company from outside the area. In some cases the Cambridge based company may continue to trade and report as before, but in other cases it may be wound up despite its activity in Cambridge being unchanged. We continue to work on this latter problem which will be helped if this database is maintained over time so that these acquisitions can be tracked.</w:t>
      </w:r>
      <w:r w:rsidR="00057ABF">
        <w:rPr>
          <w:rFonts w:ascii="Times New Roman" w:hAnsi="Times New Roman" w:cs="Times New Roman"/>
          <w:sz w:val="24"/>
          <w:szCs w:val="24"/>
        </w:rPr>
        <w:t xml:space="preserve"> </w:t>
      </w:r>
    </w:p>
    <w:p w:rsidR="00057ABF" w:rsidRPr="00DF2058" w:rsidRDefault="00057ABF" w:rsidP="00057ABF">
      <w:pPr>
        <w:spacing w:after="0" w:line="360" w:lineRule="auto"/>
        <w:rPr>
          <w:rFonts w:ascii="Times New Roman" w:hAnsi="Times New Roman" w:cs="Times New Roman"/>
          <w:sz w:val="24"/>
          <w:szCs w:val="24"/>
        </w:rPr>
      </w:pPr>
    </w:p>
    <w:p w:rsidR="005A15FE" w:rsidRDefault="00057ABF" w:rsidP="00057AB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Marshall of Cambridge is a special case and is treated as such. Part of the business, </w:t>
      </w:r>
      <w:r w:rsidRPr="00057ABF">
        <w:rPr>
          <w:rFonts w:ascii="Times New Roman" w:hAnsi="Times New Roman" w:cs="Times New Roman"/>
          <w:sz w:val="24"/>
          <w:szCs w:val="24"/>
        </w:rPr>
        <w:t>Marshall Motor Holdings PLC</w:t>
      </w:r>
      <w:r>
        <w:rPr>
          <w:rFonts w:ascii="Times New Roman" w:hAnsi="Times New Roman" w:cs="Times New Roman"/>
          <w:sz w:val="24"/>
          <w:szCs w:val="24"/>
        </w:rPr>
        <w:t xml:space="preserve"> has a stock market listing and so this is separated from the rest of the business (largely Marshall Aerospace). We treat the former as non-KI and the latter as KI.</w:t>
      </w:r>
    </w:p>
    <w:p w:rsidR="00890FC8" w:rsidRDefault="00890FC8">
      <w:pPr>
        <w:rPr>
          <w:rFonts w:ascii="Times New Roman" w:hAnsi="Times New Roman" w:cs="Times New Roman"/>
          <w:b/>
          <w:sz w:val="24"/>
          <w:szCs w:val="24"/>
        </w:rPr>
      </w:pPr>
    </w:p>
    <w:p w:rsidR="00F213C7" w:rsidRPr="00DF2058" w:rsidRDefault="00F213C7">
      <w:pPr>
        <w:rPr>
          <w:rFonts w:ascii="Times New Roman" w:hAnsi="Times New Roman" w:cs="Times New Roman"/>
          <w:b/>
          <w:sz w:val="24"/>
          <w:szCs w:val="24"/>
        </w:rPr>
      </w:pPr>
    </w:p>
    <w:p w:rsidR="00B02090" w:rsidRPr="00DF2058" w:rsidRDefault="00B02090">
      <w:pPr>
        <w:rPr>
          <w:rFonts w:ascii="Times New Roman" w:hAnsi="Times New Roman" w:cs="Times New Roman"/>
          <w:b/>
          <w:sz w:val="24"/>
          <w:szCs w:val="24"/>
        </w:rPr>
      </w:pPr>
      <w:r w:rsidRPr="00DF2058">
        <w:rPr>
          <w:rFonts w:ascii="Times New Roman" w:hAnsi="Times New Roman" w:cs="Times New Roman"/>
          <w:b/>
          <w:sz w:val="24"/>
          <w:szCs w:val="24"/>
        </w:rPr>
        <w:t>Sector reclassifications</w:t>
      </w:r>
    </w:p>
    <w:p w:rsidR="00B02090" w:rsidRPr="00DF2058" w:rsidRDefault="00890FC8"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t xml:space="preserve">The SICs for the companies are self-reported. </w:t>
      </w:r>
      <w:r w:rsidR="009A311A" w:rsidRPr="00DF2058">
        <w:rPr>
          <w:rFonts w:ascii="Times New Roman" w:hAnsi="Times New Roman" w:cs="Times New Roman"/>
          <w:sz w:val="24"/>
          <w:szCs w:val="24"/>
        </w:rPr>
        <w:t>Several hundred companies had not reported their SIC. In these cases their activity descriptions and their names (and occasionally internet searches) allowed us to assign SICs to them.</w:t>
      </w:r>
    </w:p>
    <w:p w:rsidR="009A311A" w:rsidRPr="00DF2058" w:rsidRDefault="009A311A"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t>Another group of companies were assigned to generic activities such as ‘head offices’ or ‘holding companies’. These were reassigned into SICs that represented their economic act</w:t>
      </w:r>
      <w:r w:rsidR="000A2D9B">
        <w:rPr>
          <w:rFonts w:ascii="Times New Roman" w:hAnsi="Times New Roman" w:cs="Times New Roman"/>
          <w:sz w:val="24"/>
          <w:szCs w:val="24"/>
        </w:rPr>
        <w:t>ivities.</w:t>
      </w:r>
    </w:p>
    <w:p w:rsidR="00890FC8" w:rsidRDefault="000E2B6B" w:rsidP="004850B6">
      <w:pPr>
        <w:spacing w:line="360" w:lineRule="auto"/>
        <w:rPr>
          <w:rFonts w:ascii="Times New Roman" w:hAnsi="Times New Roman" w:cs="Times New Roman"/>
          <w:sz w:val="24"/>
          <w:szCs w:val="24"/>
        </w:rPr>
      </w:pPr>
      <w:r w:rsidRPr="00DF2058">
        <w:rPr>
          <w:rFonts w:ascii="Times New Roman" w:hAnsi="Times New Roman" w:cs="Times New Roman"/>
          <w:sz w:val="24"/>
          <w:szCs w:val="24"/>
        </w:rPr>
        <w:t>We decided</w:t>
      </w:r>
      <w:r w:rsidR="009A311A" w:rsidRPr="00DF2058">
        <w:rPr>
          <w:rFonts w:ascii="Times New Roman" w:hAnsi="Times New Roman" w:cs="Times New Roman"/>
          <w:sz w:val="24"/>
          <w:szCs w:val="24"/>
        </w:rPr>
        <w:t xml:space="preserve"> to have ‘Life Science and Hea</w:t>
      </w:r>
      <w:r w:rsidR="001B4762">
        <w:rPr>
          <w:rFonts w:ascii="Times New Roman" w:hAnsi="Times New Roman" w:cs="Times New Roman"/>
          <w:sz w:val="24"/>
          <w:szCs w:val="24"/>
        </w:rPr>
        <w:t>l</w:t>
      </w:r>
      <w:r w:rsidR="009A311A" w:rsidRPr="00DF2058">
        <w:rPr>
          <w:rFonts w:ascii="Times New Roman" w:hAnsi="Times New Roman" w:cs="Times New Roman"/>
          <w:sz w:val="24"/>
          <w:szCs w:val="24"/>
        </w:rPr>
        <w:t>thcare</w:t>
      </w:r>
      <w:r w:rsidRPr="00DF2058">
        <w:rPr>
          <w:rFonts w:ascii="Times New Roman" w:hAnsi="Times New Roman" w:cs="Times New Roman"/>
          <w:sz w:val="24"/>
          <w:szCs w:val="24"/>
        </w:rPr>
        <w:t>’ and ‘Information Technology and Telecoms’ as two of o</w:t>
      </w:r>
      <w:r w:rsidR="00135DCA">
        <w:rPr>
          <w:rFonts w:ascii="Times New Roman" w:hAnsi="Times New Roman" w:cs="Times New Roman"/>
          <w:sz w:val="24"/>
          <w:szCs w:val="24"/>
        </w:rPr>
        <w:t>u</w:t>
      </w:r>
      <w:r w:rsidRPr="00DF2058">
        <w:rPr>
          <w:rFonts w:ascii="Times New Roman" w:hAnsi="Times New Roman" w:cs="Times New Roman"/>
          <w:sz w:val="24"/>
          <w:szCs w:val="24"/>
        </w:rPr>
        <w:t>r sectors owing to their importance in the Cambridge region. This involved identifying these businesses across a wide variety of SICs. We were helped in achieving this (and in other decisions) by an expert panel of local business representatives and economic consultants.</w:t>
      </w:r>
    </w:p>
    <w:p w:rsidR="00F213C7" w:rsidRPr="00DF2058" w:rsidRDefault="00F213C7" w:rsidP="004850B6">
      <w:pPr>
        <w:spacing w:line="360" w:lineRule="auto"/>
        <w:rPr>
          <w:rFonts w:ascii="Times New Roman" w:hAnsi="Times New Roman" w:cs="Times New Roman"/>
          <w:sz w:val="24"/>
          <w:szCs w:val="24"/>
        </w:rPr>
      </w:pPr>
    </w:p>
    <w:p w:rsidR="00EC31F7" w:rsidRPr="00DF2058" w:rsidRDefault="00E630F9">
      <w:pPr>
        <w:rPr>
          <w:rFonts w:ascii="Times New Roman" w:hAnsi="Times New Roman" w:cs="Times New Roman"/>
          <w:b/>
          <w:sz w:val="24"/>
          <w:szCs w:val="24"/>
        </w:rPr>
      </w:pPr>
      <w:r w:rsidRPr="00DF2058">
        <w:rPr>
          <w:rFonts w:ascii="Times New Roman" w:hAnsi="Times New Roman" w:cs="Times New Roman"/>
          <w:b/>
          <w:sz w:val="24"/>
          <w:szCs w:val="24"/>
        </w:rPr>
        <w:t>Classification of sectors as knowledge intensive</w:t>
      </w:r>
      <w:r w:rsidR="006103CC" w:rsidRPr="00DF2058">
        <w:rPr>
          <w:rFonts w:ascii="Times New Roman" w:hAnsi="Times New Roman" w:cs="Times New Roman"/>
          <w:b/>
          <w:sz w:val="24"/>
          <w:szCs w:val="24"/>
        </w:rPr>
        <w:t xml:space="preserve"> (KI)</w:t>
      </w:r>
    </w:p>
    <w:p w:rsidR="007A434C" w:rsidRDefault="00E630F9" w:rsidP="007A434C">
      <w:pPr>
        <w:spacing w:line="360" w:lineRule="auto"/>
        <w:rPr>
          <w:rFonts w:ascii="Times New Roman" w:hAnsi="Times New Roman" w:cs="Times New Roman"/>
          <w:sz w:val="24"/>
          <w:szCs w:val="24"/>
        </w:rPr>
      </w:pPr>
      <w:r w:rsidRPr="00DF2058">
        <w:rPr>
          <w:rFonts w:ascii="Times New Roman" w:hAnsi="Times New Roman" w:cs="Times New Roman"/>
          <w:sz w:val="24"/>
          <w:szCs w:val="24"/>
        </w:rPr>
        <w:t>The classification of sectors is based on the London Analysis, Identifying Science and Technology Businesses in Official Statistics that can be found at:</w:t>
      </w:r>
    </w:p>
    <w:p w:rsidR="00EC31F7" w:rsidRPr="00DF2058" w:rsidRDefault="00072C15" w:rsidP="007A434C">
      <w:pPr>
        <w:spacing w:line="360" w:lineRule="auto"/>
        <w:rPr>
          <w:rFonts w:ascii="Times New Roman" w:eastAsia="Times New Roman" w:hAnsi="Times New Roman" w:cs="Times New Roman"/>
          <w:color w:val="0000FF"/>
          <w:sz w:val="24"/>
          <w:szCs w:val="24"/>
          <w:u w:val="single"/>
          <w:lang w:eastAsia="en-GB"/>
        </w:rPr>
      </w:pPr>
      <w:hyperlink r:id="rId8" w:history="1">
        <w:r w:rsidR="00EC31F7" w:rsidRPr="00DF2058">
          <w:rPr>
            <w:rFonts w:ascii="Times New Roman" w:eastAsia="Times New Roman" w:hAnsi="Times New Roman" w:cs="Times New Roman"/>
            <w:color w:val="0000FF"/>
            <w:sz w:val="24"/>
            <w:szCs w:val="24"/>
            <w:u w:val="single"/>
            <w:lang w:eastAsia="en-GB"/>
          </w:rPr>
          <w:t>www.ons.gov.uk/ons/rel/regional-trends/london-analysis/identifying-science-and-technology-businesses-in-official-statistics/index.html</w:t>
        </w:r>
      </w:hyperlink>
    </w:p>
    <w:p w:rsidR="007A434C" w:rsidRDefault="00E630F9" w:rsidP="004850B6">
      <w:pPr>
        <w:spacing w:line="360" w:lineRule="auto"/>
        <w:rPr>
          <w:rFonts w:ascii="Times New Roman" w:eastAsia="Times New Roman" w:hAnsi="Times New Roman" w:cs="Times New Roman"/>
          <w:color w:val="000000"/>
          <w:sz w:val="24"/>
          <w:szCs w:val="24"/>
          <w:lang w:eastAsia="en-GB"/>
        </w:rPr>
      </w:pPr>
      <w:r w:rsidRPr="00DF2058">
        <w:rPr>
          <w:rFonts w:ascii="Times New Roman" w:hAnsi="Times New Roman" w:cs="Times New Roman"/>
          <w:sz w:val="24"/>
          <w:szCs w:val="24"/>
        </w:rPr>
        <w:t>We rely primarily on the science and technology indicator provided in this publication and their analysis of how</w:t>
      </w:r>
      <w:r w:rsidRPr="00DF2058">
        <w:rPr>
          <w:rFonts w:ascii="Times New Roman" w:eastAsia="Times New Roman" w:hAnsi="Times New Roman" w:cs="Times New Roman"/>
          <w:color w:val="000000"/>
          <w:sz w:val="24"/>
          <w:szCs w:val="24"/>
          <w:lang w:eastAsia="en-GB"/>
        </w:rPr>
        <w:t xml:space="preserve"> each SIC07 code is classified according to the OECD and Eurostat </w:t>
      </w:r>
      <w:r w:rsidR="000A2D9B">
        <w:rPr>
          <w:rFonts w:ascii="Times New Roman" w:eastAsia="Times New Roman" w:hAnsi="Times New Roman" w:cs="Times New Roman"/>
          <w:color w:val="000000"/>
          <w:sz w:val="24"/>
          <w:szCs w:val="24"/>
          <w:lang w:eastAsia="en-GB"/>
        </w:rPr>
        <w:t>“</w:t>
      </w:r>
      <w:r w:rsidRPr="00DF2058">
        <w:rPr>
          <w:rFonts w:ascii="Times New Roman" w:eastAsia="Times New Roman" w:hAnsi="Times New Roman" w:cs="Times New Roman"/>
          <w:color w:val="000000"/>
          <w:sz w:val="24"/>
          <w:szCs w:val="24"/>
          <w:lang w:eastAsia="en-GB"/>
        </w:rPr>
        <w:t>High-tech statistics</w:t>
      </w:r>
      <w:r w:rsidR="000A2D9B">
        <w:rPr>
          <w:rFonts w:ascii="Times New Roman" w:eastAsia="Times New Roman" w:hAnsi="Times New Roman" w:cs="Times New Roman"/>
          <w:color w:val="000000"/>
          <w:sz w:val="24"/>
          <w:szCs w:val="24"/>
          <w:lang w:eastAsia="en-GB"/>
        </w:rPr>
        <w:t>”</w:t>
      </w:r>
      <w:r w:rsidRPr="00DF2058">
        <w:rPr>
          <w:rFonts w:ascii="Times New Roman" w:eastAsia="Times New Roman" w:hAnsi="Times New Roman" w:cs="Times New Roman"/>
          <w:color w:val="000000"/>
          <w:sz w:val="24"/>
          <w:szCs w:val="24"/>
          <w:lang w:eastAsia="en-GB"/>
        </w:rPr>
        <w:t xml:space="preserve"> publication available here:</w:t>
      </w:r>
    </w:p>
    <w:p w:rsidR="00E630F9" w:rsidRDefault="00706FE0" w:rsidP="004850B6">
      <w:pPr>
        <w:spacing w:line="360" w:lineRule="auto"/>
        <w:rPr>
          <w:rFonts w:ascii="Times New Roman" w:eastAsia="Times New Roman" w:hAnsi="Times New Roman" w:cs="Times New Roman"/>
          <w:color w:val="000000"/>
          <w:sz w:val="24"/>
          <w:szCs w:val="24"/>
          <w:lang w:eastAsia="en-GB"/>
        </w:rPr>
      </w:pPr>
      <w:hyperlink r:id="rId9" w:history="1">
        <w:r w:rsidR="000A2D9B" w:rsidRPr="00932EB4">
          <w:rPr>
            <w:rStyle w:val="Hyperlink"/>
            <w:rFonts w:ascii="Times New Roman" w:eastAsia="Times New Roman" w:hAnsi="Times New Roman" w:cs="Times New Roman"/>
            <w:sz w:val="24"/>
            <w:szCs w:val="24"/>
            <w:lang w:eastAsia="en-GB"/>
          </w:rPr>
          <w:t>http://ec.europa.eu/euros</w:t>
        </w:r>
        <w:r w:rsidR="000A2D9B" w:rsidRPr="00932EB4">
          <w:rPr>
            <w:rStyle w:val="Hyperlink"/>
            <w:rFonts w:ascii="Times New Roman" w:eastAsia="Times New Roman" w:hAnsi="Times New Roman" w:cs="Times New Roman"/>
            <w:sz w:val="24"/>
            <w:szCs w:val="24"/>
            <w:lang w:eastAsia="en-GB"/>
          </w:rPr>
          <w:t>t</w:t>
        </w:r>
        <w:r w:rsidR="000A2D9B" w:rsidRPr="00932EB4">
          <w:rPr>
            <w:rStyle w:val="Hyperlink"/>
            <w:rFonts w:ascii="Times New Roman" w:eastAsia="Times New Roman" w:hAnsi="Times New Roman" w:cs="Times New Roman"/>
            <w:sz w:val="24"/>
            <w:szCs w:val="24"/>
            <w:lang w:eastAsia="en-GB"/>
          </w:rPr>
          <w:t>at/statistics-ex</w:t>
        </w:r>
        <w:r w:rsidR="000A2D9B" w:rsidRPr="00932EB4">
          <w:rPr>
            <w:rStyle w:val="Hyperlink"/>
            <w:rFonts w:ascii="Times New Roman" w:eastAsia="Times New Roman" w:hAnsi="Times New Roman" w:cs="Times New Roman"/>
            <w:sz w:val="24"/>
            <w:szCs w:val="24"/>
            <w:lang w:eastAsia="en-GB"/>
          </w:rPr>
          <w:t>p</w:t>
        </w:r>
        <w:r w:rsidR="000A2D9B" w:rsidRPr="00932EB4">
          <w:rPr>
            <w:rStyle w:val="Hyperlink"/>
            <w:rFonts w:ascii="Times New Roman" w:eastAsia="Times New Roman" w:hAnsi="Times New Roman" w:cs="Times New Roman"/>
            <w:sz w:val="24"/>
            <w:szCs w:val="24"/>
            <w:lang w:eastAsia="en-GB"/>
          </w:rPr>
          <w:t>lained/index.php?title=High-tech_statistics_-_employment</w:t>
        </w:r>
      </w:hyperlink>
    </w:p>
    <w:p w:rsidR="007A434C" w:rsidRPr="007A434C" w:rsidRDefault="007A434C" w:rsidP="004850B6">
      <w:pPr>
        <w:spacing w:line="360" w:lineRule="auto"/>
        <w:rPr>
          <w:rFonts w:ascii="Times New Roman" w:eastAsia="Times New Roman" w:hAnsi="Times New Roman" w:cs="Times New Roman"/>
          <w:b/>
          <w:color w:val="000000"/>
          <w:sz w:val="24"/>
          <w:szCs w:val="24"/>
          <w:lang w:eastAsia="en-GB"/>
        </w:rPr>
      </w:pPr>
      <w:r w:rsidRPr="007A434C">
        <w:rPr>
          <w:rFonts w:ascii="Times New Roman" w:eastAsia="Times New Roman" w:hAnsi="Times New Roman" w:cs="Times New Roman"/>
          <w:b/>
          <w:color w:val="000000"/>
          <w:sz w:val="24"/>
          <w:szCs w:val="24"/>
          <w:lang w:eastAsia="en-GB"/>
        </w:rPr>
        <w:lastRenderedPageBreak/>
        <w:t xml:space="preserve">We classify KI sectors as Information technology </w:t>
      </w:r>
      <w:r w:rsidRPr="00932EB4">
        <w:rPr>
          <w:rFonts w:ascii="Times New Roman" w:eastAsia="Times New Roman" w:hAnsi="Times New Roman" w:cs="Times New Roman"/>
          <w:b/>
          <w:sz w:val="24"/>
          <w:szCs w:val="24"/>
          <w:lang w:eastAsia="en-GB"/>
        </w:rPr>
        <w:t xml:space="preserve">and </w:t>
      </w:r>
      <w:r w:rsidR="00CD6FAD" w:rsidRPr="00932EB4">
        <w:rPr>
          <w:rFonts w:ascii="Times New Roman" w:eastAsia="Times New Roman" w:hAnsi="Times New Roman" w:cs="Times New Roman"/>
          <w:b/>
          <w:sz w:val="24"/>
          <w:szCs w:val="24"/>
          <w:lang w:eastAsia="en-GB"/>
        </w:rPr>
        <w:t>telecoms</w:t>
      </w:r>
      <w:r w:rsidRPr="00932EB4">
        <w:rPr>
          <w:rFonts w:ascii="Times New Roman" w:eastAsia="Times New Roman" w:hAnsi="Times New Roman" w:cs="Times New Roman"/>
          <w:b/>
          <w:sz w:val="24"/>
          <w:szCs w:val="24"/>
          <w:lang w:eastAsia="en-GB"/>
        </w:rPr>
        <w:t xml:space="preserve">; </w:t>
      </w:r>
      <w:r w:rsidRPr="007A434C">
        <w:rPr>
          <w:rFonts w:ascii="Times New Roman" w:eastAsia="Times New Roman" w:hAnsi="Times New Roman" w:cs="Times New Roman"/>
          <w:b/>
          <w:color w:val="000000"/>
          <w:sz w:val="24"/>
          <w:szCs w:val="24"/>
          <w:lang w:eastAsia="en-GB"/>
        </w:rPr>
        <w:t xml:space="preserve">Life science and healthcare; High-tech </w:t>
      </w:r>
      <w:r w:rsidR="00932EB4">
        <w:rPr>
          <w:rFonts w:ascii="Times New Roman" w:eastAsia="Times New Roman" w:hAnsi="Times New Roman" w:cs="Times New Roman"/>
          <w:b/>
          <w:color w:val="000000"/>
          <w:sz w:val="24"/>
          <w:szCs w:val="24"/>
          <w:lang w:eastAsia="en-GB"/>
        </w:rPr>
        <w:t>m</w:t>
      </w:r>
      <w:r w:rsidRPr="007A434C">
        <w:rPr>
          <w:rFonts w:ascii="Times New Roman" w:eastAsia="Times New Roman" w:hAnsi="Times New Roman" w:cs="Times New Roman"/>
          <w:b/>
          <w:color w:val="000000"/>
          <w:sz w:val="24"/>
          <w:szCs w:val="24"/>
          <w:lang w:eastAsia="en-GB"/>
        </w:rPr>
        <w:t xml:space="preserve">anufacturing; and Knowledge intensive services. </w:t>
      </w:r>
    </w:p>
    <w:p w:rsidR="007029BB" w:rsidRDefault="007029BB" w:rsidP="004850B6">
      <w:pPr>
        <w:spacing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OECD definition classifies knowledge intensive services (KIS) into four groups: KIS financial services; KIS market services; other KIS; and KIS other high-tech services. As explained below, in</w:t>
      </w:r>
      <w:r w:rsidR="007A434C">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general we take only the last of these to be KI in our definition.</w:t>
      </w:r>
    </w:p>
    <w:p w:rsidR="006103CC" w:rsidRPr="00DF2058" w:rsidRDefault="006103CC" w:rsidP="004850B6">
      <w:pPr>
        <w:spacing w:line="360" w:lineRule="auto"/>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In general, the KI sectors are: High technology and medium-high technology manufacturing and KIS high-tech services. Low and medium-low technology manufacturing, KIS market services, KIS financial services and Other KIS are generally classified as non-KI.</w:t>
      </w:r>
      <w:r w:rsidR="00F213C7">
        <w:rPr>
          <w:rFonts w:ascii="Times New Roman" w:eastAsia="Times New Roman" w:hAnsi="Times New Roman" w:cs="Times New Roman"/>
          <w:color w:val="000000"/>
          <w:sz w:val="24"/>
          <w:szCs w:val="24"/>
          <w:lang w:eastAsia="en-GB"/>
        </w:rPr>
        <w:t xml:space="preserve"> </w:t>
      </w:r>
    </w:p>
    <w:p w:rsidR="006103CC" w:rsidRPr="00DF2058" w:rsidRDefault="00877978" w:rsidP="004850B6">
      <w:pPr>
        <w:spacing w:line="360" w:lineRule="auto"/>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There are a few exceptions to these general rules and these are discussed below.</w:t>
      </w:r>
    </w:p>
    <w:p w:rsidR="00810996" w:rsidRPr="00DF2058" w:rsidRDefault="00810996"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SIC 42220</w:t>
      </w:r>
    </w:p>
    <w:p w:rsidR="00810996" w:rsidRPr="00DF2058" w:rsidRDefault="00810996"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This concerns construction projects for telecoms and electricity and we have taken these seven companies to be KI.</w:t>
      </w:r>
    </w:p>
    <w:p w:rsidR="00810996" w:rsidRPr="00DF2058" w:rsidRDefault="00F06034"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SICs 53100 – 53202</w:t>
      </w:r>
    </w:p>
    <w:p w:rsidR="00F06034" w:rsidRPr="00DF2058" w:rsidRDefault="00F06034"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These are postal courier services and despite them being classified as KIS high-tech services by the OECD, we do not regard them as KI.</w:t>
      </w:r>
    </w:p>
    <w:p w:rsidR="00F06034" w:rsidRPr="00DF2058" w:rsidRDefault="00F06034"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SICs 59111 – 59120</w:t>
      </w:r>
    </w:p>
    <w:p w:rsidR="00F06034" w:rsidRPr="00DF2058" w:rsidRDefault="00F06034"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These sectors involve TV and video production and despite being classified by the OECD as Other KIS, we have classified them as KI.</w:t>
      </w:r>
    </w:p>
    <w:p w:rsidR="00F06034" w:rsidRPr="00DF2058" w:rsidRDefault="00F06034"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SICs 59200 – 60200</w:t>
      </w:r>
    </w:p>
    <w:p w:rsidR="00F06034" w:rsidRPr="00DF2058" w:rsidRDefault="00F06034" w:rsidP="00F06034">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These sectors involve TV and radio broadcasting and despite being classified by the OECD as Other KIS, we have classified them as KI.</w:t>
      </w:r>
    </w:p>
    <w:p w:rsidR="00877978" w:rsidRPr="00DF2058" w:rsidRDefault="00877978" w:rsidP="00F06034">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SICs 69109 &amp; 77400</w:t>
      </w:r>
    </w:p>
    <w:p w:rsidR="00877978" w:rsidRPr="00DF2058" w:rsidRDefault="00877978" w:rsidP="00F06034">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These sectors cover intellectual property protection and despite being classified as KIS market services, we have classified them as KI.</w:t>
      </w:r>
    </w:p>
    <w:p w:rsidR="006103CC" w:rsidRPr="00DF2058" w:rsidRDefault="006103CC" w:rsidP="00E630F9">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 xml:space="preserve">SICs 71121 – 71200 </w:t>
      </w:r>
      <w:r w:rsidR="00810996" w:rsidRPr="00DF2058">
        <w:rPr>
          <w:rFonts w:ascii="Times New Roman" w:eastAsia="Times New Roman" w:hAnsi="Times New Roman" w:cs="Times New Roman"/>
          <w:color w:val="000000"/>
          <w:sz w:val="24"/>
          <w:szCs w:val="24"/>
          <w:lang w:eastAsia="en-GB"/>
        </w:rPr>
        <w:t>and 74901</w:t>
      </w:r>
    </w:p>
    <w:p w:rsidR="00810996" w:rsidRPr="00DF2058" w:rsidRDefault="006103CC" w:rsidP="00810996">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 xml:space="preserve">Despite these being classified as KIS market services, we have classified them as KI. </w:t>
      </w:r>
      <w:r w:rsidR="00810996" w:rsidRPr="00DF2058">
        <w:rPr>
          <w:rFonts w:ascii="Times New Roman" w:eastAsia="Times New Roman" w:hAnsi="Times New Roman" w:cs="Times New Roman"/>
          <w:color w:val="000000"/>
          <w:sz w:val="24"/>
          <w:szCs w:val="24"/>
          <w:lang w:eastAsia="en-GB"/>
        </w:rPr>
        <w:t>In support of this decision, t</w:t>
      </w:r>
      <w:r w:rsidRPr="00DF2058">
        <w:rPr>
          <w:rFonts w:ascii="Times New Roman" w:eastAsia="Times New Roman" w:hAnsi="Times New Roman" w:cs="Times New Roman"/>
          <w:color w:val="000000"/>
          <w:sz w:val="24"/>
          <w:szCs w:val="24"/>
          <w:lang w:eastAsia="en-GB"/>
        </w:rPr>
        <w:t xml:space="preserve">heir science and technology </w:t>
      </w:r>
      <w:r w:rsidR="00810996" w:rsidRPr="00DF2058">
        <w:rPr>
          <w:rFonts w:ascii="Times New Roman" w:eastAsia="Times New Roman" w:hAnsi="Times New Roman" w:cs="Times New Roman"/>
          <w:color w:val="000000"/>
          <w:sz w:val="24"/>
          <w:szCs w:val="24"/>
          <w:lang w:eastAsia="en-GB"/>
        </w:rPr>
        <w:t>category is given as ‘Other scientific/technological services’. However, to be consistent we should also have classified quantity surveyors as KI, but we did not.</w:t>
      </w:r>
    </w:p>
    <w:p w:rsidR="002E7B4D" w:rsidRPr="00DF2058" w:rsidRDefault="002E7B4D" w:rsidP="00810996">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SIC 75000</w:t>
      </w:r>
    </w:p>
    <w:p w:rsidR="002E7B4D" w:rsidRPr="00DF2058" w:rsidRDefault="002E7B4D" w:rsidP="00810996">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lastRenderedPageBreak/>
        <w:t>This sector covers veterinary activities. After some debate it was decided to not classify as KI despite the importance of the racing industry in Newmarket.</w:t>
      </w:r>
    </w:p>
    <w:p w:rsidR="002E7B4D" w:rsidRPr="00DF2058" w:rsidRDefault="002E7B4D" w:rsidP="00810996">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SICs 86101 – 86900</w:t>
      </w:r>
    </w:p>
    <w:p w:rsidR="002E7B4D" w:rsidRDefault="002E7B4D" w:rsidP="00810996">
      <w:pPr>
        <w:rPr>
          <w:rFonts w:ascii="Times New Roman" w:eastAsia="Times New Roman" w:hAnsi="Times New Roman" w:cs="Times New Roman"/>
          <w:color w:val="000000"/>
          <w:sz w:val="24"/>
          <w:szCs w:val="24"/>
          <w:lang w:eastAsia="en-GB"/>
        </w:rPr>
      </w:pPr>
      <w:r w:rsidRPr="00DF2058">
        <w:rPr>
          <w:rFonts w:ascii="Times New Roman" w:eastAsia="Times New Roman" w:hAnsi="Times New Roman" w:cs="Times New Roman"/>
          <w:color w:val="000000"/>
          <w:sz w:val="24"/>
          <w:szCs w:val="24"/>
          <w:lang w:eastAsia="en-GB"/>
        </w:rPr>
        <w:t>These sectors involve human health activities and whilst some of the companies within these sectors may be classifiable as KI, we decided to classify these sectors as a whole as non-KI.</w:t>
      </w:r>
    </w:p>
    <w:p w:rsidR="007A434C" w:rsidRDefault="007A434C" w:rsidP="00810996">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 summary of this classification and the number of companies in each sector on the d</w:t>
      </w:r>
      <w:r w:rsidR="00A505AB">
        <w:rPr>
          <w:rFonts w:ascii="Times New Roman" w:eastAsia="Times New Roman" w:hAnsi="Times New Roman" w:cs="Times New Roman"/>
          <w:color w:val="000000"/>
          <w:sz w:val="24"/>
          <w:szCs w:val="24"/>
          <w:lang w:eastAsia="en-GB"/>
        </w:rPr>
        <w:t>a</w:t>
      </w:r>
      <w:r>
        <w:rPr>
          <w:rFonts w:ascii="Times New Roman" w:eastAsia="Times New Roman" w:hAnsi="Times New Roman" w:cs="Times New Roman"/>
          <w:color w:val="000000"/>
          <w:sz w:val="24"/>
          <w:szCs w:val="24"/>
          <w:lang w:eastAsia="en-GB"/>
        </w:rPr>
        <w:t xml:space="preserve">tabase can be found in </w:t>
      </w:r>
      <w:hyperlink r:id="rId10" w:history="1">
        <w:r w:rsidRPr="003A5986">
          <w:rPr>
            <w:rStyle w:val="Hyperlink"/>
            <w:rFonts w:ascii="Times New Roman" w:eastAsia="Times New Roman" w:hAnsi="Times New Roman" w:cs="Times New Roman"/>
            <w:sz w:val="24"/>
            <w:szCs w:val="24"/>
            <w:lang w:eastAsia="en-GB"/>
          </w:rPr>
          <w:t>http://www.cambridgeahead.co.uk/wp-content/uploads/2016/02/CBR-Dataset-Sector-classifications-&amp;-counts-Feb-2016.pdf</w:t>
        </w:r>
      </w:hyperlink>
    </w:p>
    <w:p w:rsidR="00810996" w:rsidRPr="00DF2058" w:rsidRDefault="00810996" w:rsidP="004850B6">
      <w:pPr>
        <w:spacing w:line="360" w:lineRule="auto"/>
        <w:rPr>
          <w:rFonts w:ascii="Times New Roman" w:hAnsi="Times New Roman" w:cs="Times New Roman"/>
          <w:b/>
          <w:sz w:val="24"/>
          <w:szCs w:val="24"/>
        </w:rPr>
      </w:pPr>
      <w:r w:rsidRPr="00DF2058">
        <w:rPr>
          <w:rFonts w:ascii="Times New Roman" w:hAnsi="Times New Roman" w:cs="Times New Roman"/>
          <w:b/>
          <w:sz w:val="24"/>
          <w:szCs w:val="24"/>
        </w:rPr>
        <w:t>Of course, it should be noted that we have classified sectors, not companies. There will be KI companies operating in non-KI sectors and vice versa.</w:t>
      </w:r>
    </w:p>
    <w:p w:rsidR="002E7B4D" w:rsidRPr="00DF2058" w:rsidRDefault="002E7B4D">
      <w:pPr>
        <w:rPr>
          <w:rFonts w:ascii="Times New Roman" w:hAnsi="Times New Roman" w:cs="Times New Roman"/>
          <w:b/>
          <w:sz w:val="24"/>
          <w:szCs w:val="24"/>
        </w:rPr>
      </w:pPr>
    </w:p>
    <w:p w:rsidR="002E7B4D" w:rsidRPr="00DF2058" w:rsidRDefault="002E7B4D">
      <w:pPr>
        <w:rPr>
          <w:rFonts w:ascii="Times New Roman" w:hAnsi="Times New Roman" w:cs="Times New Roman"/>
          <w:b/>
          <w:sz w:val="24"/>
          <w:szCs w:val="24"/>
        </w:rPr>
      </w:pPr>
      <w:r w:rsidRPr="00DF2058">
        <w:rPr>
          <w:rFonts w:ascii="Times New Roman" w:hAnsi="Times New Roman" w:cs="Times New Roman"/>
          <w:b/>
          <w:sz w:val="24"/>
          <w:szCs w:val="24"/>
        </w:rPr>
        <w:t xml:space="preserve">Estimation of </w:t>
      </w:r>
      <w:r w:rsidR="00E330CF">
        <w:rPr>
          <w:rFonts w:ascii="Times New Roman" w:hAnsi="Times New Roman" w:cs="Times New Roman"/>
          <w:b/>
          <w:sz w:val="24"/>
          <w:szCs w:val="24"/>
        </w:rPr>
        <w:t xml:space="preserve">global </w:t>
      </w:r>
      <w:r w:rsidRPr="00DF2058">
        <w:rPr>
          <w:rFonts w:ascii="Times New Roman" w:hAnsi="Times New Roman" w:cs="Times New Roman"/>
          <w:b/>
          <w:sz w:val="24"/>
          <w:szCs w:val="24"/>
        </w:rPr>
        <w:t>employment and turnover figures</w:t>
      </w:r>
    </w:p>
    <w:p w:rsidR="00DF2058" w:rsidRDefault="00DF2058" w:rsidP="00072C15">
      <w:pPr>
        <w:pStyle w:val="CommentText"/>
        <w:spacing w:line="360" w:lineRule="auto"/>
        <w:rPr>
          <w:rFonts w:ascii="Times New Roman" w:hAnsi="Times New Roman"/>
        </w:rPr>
      </w:pPr>
      <w:r w:rsidRPr="00DF2058">
        <w:rPr>
          <w:rFonts w:ascii="Times New Roman" w:hAnsi="Times New Roman"/>
        </w:rPr>
        <w:t xml:space="preserve">The vast majority of </w:t>
      </w:r>
      <w:r>
        <w:rPr>
          <w:rFonts w:ascii="Times New Roman" w:hAnsi="Times New Roman"/>
        </w:rPr>
        <w:t xml:space="preserve">our companies are </w:t>
      </w:r>
      <w:r w:rsidRPr="00DF2058">
        <w:rPr>
          <w:rFonts w:ascii="Times New Roman" w:hAnsi="Times New Roman"/>
        </w:rPr>
        <w:t xml:space="preserve">SMEs </w:t>
      </w:r>
      <w:r>
        <w:rPr>
          <w:rFonts w:ascii="Times New Roman" w:hAnsi="Times New Roman"/>
        </w:rPr>
        <w:t xml:space="preserve">and </w:t>
      </w:r>
      <w:r w:rsidRPr="00DF2058">
        <w:rPr>
          <w:rFonts w:ascii="Times New Roman" w:hAnsi="Times New Roman"/>
        </w:rPr>
        <w:t xml:space="preserve">take the full exemption in filing their accounts. This means that not much more than balance sheet figures are presented. </w:t>
      </w:r>
      <w:r w:rsidR="00CC72D5">
        <w:rPr>
          <w:rFonts w:ascii="Times New Roman" w:hAnsi="Times New Roman"/>
        </w:rPr>
        <w:t>This means that we need to adopt a variety of approaches to the estimation of employment and turnover. First we tackle employment, using accounting information for the approximately 1</w:t>
      </w:r>
      <w:r w:rsidR="001B4762">
        <w:rPr>
          <w:rFonts w:ascii="Times New Roman" w:hAnsi="Times New Roman"/>
        </w:rPr>
        <w:t>7</w:t>
      </w:r>
      <w:r w:rsidR="00CC72D5">
        <w:rPr>
          <w:rFonts w:ascii="Times New Roman" w:hAnsi="Times New Roman"/>
        </w:rPr>
        <w:t xml:space="preserve">50 companies that provide it. </w:t>
      </w:r>
      <w:r w:rsidR="001B4762">
        <w:rPr>
          <w:rFonts w:ascii="Times New Roman" w:hAnsi="Times New Roman"/>
        </w:rPr>
        <w:t>Second, when this is missing we frequently have the number of employees at their primary trading address provided by the company (over 8000 cases). The third</w:t>
      </w:r>
      <w:r w:rsidR="00CC72D5">
        <w:rPr>
          <w:rFonts w:ascii="Times New Roman" w:hAnsi="Times New Roman"/>
        </w:rPr>
        <w:t xml:space="preserve"> approach begins by estimating employment from total assets for the remainder. To do this we c</w:t>
      </w:r>
      <w:r w:rsidRPr="00DF2058">
        <w:rPr>
          <w:rFonts w:ascii="Times New Roman" w:hAnsi="Times New Roman"/>
        </w:rPr>
        <w:t xml:space="preserve">ollect </w:t>
      </w:r>
      <w:r w:rsidR="00CC72D5">
        <w:rPr>
          <w:rFonts w:ascii="Times New Roman" w:hAnsi="Times New Roman"/>
        </w:rPr>
        <w:t>employment, turnover and total assets</w:t>
      </w:r>
      <w:r w:rsidRPr="00DF2058">
        <w:rPr>
          <w:rFonts w:ascii="Times New Roman" w:hAnsi="Times New Roman"/>
        </w:rPr>
        <w:t xml:space="preserve"> for </w:t>
      </w:r>
      <w:r w:rsidR="00CC72D5">
        <w:rPr>
          <w:rFonts w:ascii="Times New Roman" w:hAnsi="Times New Roman"/>
        </w:rPr>
        <w:t>all companies in the 50-249 size range on FAME. From these we calculate the m</w:t>
      </w:r>
      <w:r w:rsidRPr="00DF2058">
        <w:rPr>
          <w:rFonts w:ascii="Times New Roman" w:hAnsi="Times New Roman"/>
        </w:rPr>
        <w:t xml:space="preserve">edian </w:t>
      </w:r>
      <w:r w:rsidR="00CC72D5">
        <w:rPr>
          <w:rFonts w:ascii="Times New Roman" w:hAnsi="Times New Roman"/>
        </w:rPr>
        <w:t xml:space="preserve">employment to total assets ratio and the median turnover to employment ratio for each </w:t>
      </w:r>
      <w:r w:rsidR="00014193">
        <w:rPr>
          <w:rFonts w:ascii="Times New Roman" w:hAnsi="Times New Roman"/>
        </w:rPr>
        <w:t xml:space="preserve">four-digit </w:t>
      </w:r>
      <w:r w:rsidR="00CC72D5">
        <w:rPr>
          <w:rFonts w:ascii="Times New Roman" w:hAnsi="Times New Roman"/>
        </w:rPr>
        <w:t xml:space="preserve">SIC </w:t>
      </w:r>
      <w:r w:rsidR="00014193">
        <w:rPr>
          <w:rFonts w:ascii="Times New Roman" w:hAnsi="Times New Roman"/>
        </w:rPr>
        <w:t>averaged over the past three years</w:t>
      </w:r>
      <w:r w:rsidR="00E050C9">
        <w:rPr>
          <w:rFonts w:ascii="Times New Roman" w:hAnsi="Times New Roman"/>
        </w:rPr>
        <w:t xml:space="preserve"> </w:t>
      </w:r>
      <w:r w:rsidR="00CC72D5">
        <w:rPr>
          <w:rFonts w:ascii="Times New Roman" w:hAnsi="Times New Roman"/>
        </w:rPr>
        <w:t>(amalgamating adjacent SICs when the number of observations is too small)</w:t>
      </w:r>
      <w:r w:rsidRPr="00DF2058">
        <w:rPr>
          <w:rFonts w:ascii="Times New Roman" w:hAnsi="Times New Roman"/>
        </w:rPr>
        <w:t>.</w:t>
      </w:r>
      <w:r w:rsidR="00CC72D5">
        <w:rPr>
          <w:rFonts w:ascii="Times New Roman" w:hAnsi="Times New Roman"/>
        </w:rPr>
        <w:t xml:space="preserve"> We then use the appropriate employment to asse</w:t>
      </w:r>
      <w:r w:rsidR="00E330CF">
        <w:rPr>
          <w:rFonts w:ascii="Times New Roman" w:hAnsi="Times New Roman"/>
        </w:rPr>
        <w:t>t</w:t>
      </w:r>
      <w:r w:rsidR="00CC72D5">
        <w:rPr>
          <w:rFonts w:ascii="Times New Roman" w:hAnsi="Times New Roman"/>
        </w:rPr>
        <w:t>s median to estimate employment for each company that has not reported it.</w:t>
      </w:r>
    </w:p>
    <w:p w:rsidR="00CC72D5" w:rsidRPr="00DF2058" w:rsidRDefault="00CC72D5" w:rsidP="004850B6">
      <w:pPr>
        <w:pStyle w:val="CommentText"/>
        <w:spacing w:line="360" w:lineRule="auto"/>
        <w:rPr>
          <w:rFonts w:ascii="Times New Roman" w:hAnsi="Times New Roman"/>
        </w:rPr>
      </w:pPr>
      <w:r>
        <w:rPr>
          <w:rFonts w:ascii="Times New Roman" w:hAnsi="Times New Roman"/>
        </w:rPr>
        <w:t>For about half of the companies we use this estimate of employment but not before it has gone through several checks</w:t>
      </w:r>
      <w:r w:rsidR="001B4762">
        <w:rPr>
          <w:rFonts w:ascii="Times New Roman" w:hAnsi="Times New Roman"/>
        </w:rPr>
        <w:t xml:space="preserve"> (and web-based searches)</w:t>
      </w:r>
      <w:r>
        <w:rPr>
          <w:rFonts w:ascii="Times New Roman" w:hAnsi="Times New Roman"/>
        </w:rPr>
        <w:t xml:space="preserve">. We have employment at the primary trading address provided for over 9,000 companies that did not report employment in their accounts. Where this is </w:t>
      </w:r>
      <w:r w:rsidR="0076661F">
        <w:rPr>
          <w:rFonts w:ascii="Times New Roman" w:hAnsi="Times New Roman"/>
        </w:rPr>
        <w:t xml:space="preserve">roughly </w:t>
      </w:r>
      <w:r>
        <w:rPr>
          <w:rFonts w:ascii="Times New Roman" w:hAnsi="Times New Roman"/>
        </w:rPr>
        <w:t>consistent</w:t>
      </w:r>
      <w:r w:rsidR="0076661F">
        <w:rPr>
          <w:rFonts w:ascii="Times New Roman" w:hAnsi="Times New Roman"/>
        </w:rPr>
        <w:t xml:space="preserve"> with the estimate from the median employment to asset ratio, we use the primary trading address employment as given. The next check is to compare our estimate of employment with the employment size range estimated by FAME, which led to about 1500 companies having the mid value of this size range used in preference </w:t>
      </w:r>
      <w:r w:rsidR="0076661F">
        <w:rPr>
          <w:rFonts w:ascii="Times New Roman" w:hAnsi="Times New Roman"/>
        </w:rPr>
        <w:lastRenderedPageBreak/>
        <w:t>to the asset-based estimate. For about 1000 companies the estimate of employment exceeded 50, the level at which companies are obliged to provide employment figures. In each of these cases internet searches led either to a more accurate figure being identified, or to the estimated employment being set to a maximum of 49 (152 companies). Occasionally, companies reported turnover figures but not employment and in these cases employment was also estimated on the basis of turnover.</w:t>
      </w:r>
    </w:p>
    <w:p w:rsidR="00DF2058" w:rsidRPr="00DF2058" w:rsidRDefault="00DF2058" w:rsidP="004850B6">
      <w:pPr>
        <w:pStyle w:val="CommentText"/>
        <w:spacing w:line="360" w:lineRule="auto"/>
        <w:rPr>
          <w:rFonts w:ascii="Times New Roman" w:hAnsi="Times New Roman"/>
        </w:rPr>
      </w:pPr>
      <w:r w:rsidRPr="00DF2058">
        <w:rPr>
          <w:rFonts w:ascii="Times New Roman" w:hAnsi="Times New Roman"/>
        </w:rPr>
        <w:t>For those without employment figures in the earlier years we use the assets figures for the previous years for that company as ratios to their current assets to calculate employment for the previous three years (with missing values when there is no asset figure for that year (i</w:t>
      </w:r>
      <w:r w:rsidR="00E050C9">
        <w:rPr>
          <w:rFonts w:ascii="Times New Roman" w:hAnsi="Times New Roman"/>
        </w:rPr>
        <w:t>.</w:t>
      </w:r>
      <w:r w:rsidRPr="00DF2058">
        <w:rPr>
          <w:rFonts w:ascii="Times New Roman" w:hAnsi="Times New Roman"/>
        </w:rPr>
        <w:t>e</w:t>
      </w:r>
      <w:r w:rsidR="00E050C9">
        <w:rPr>
          <w:rFonts w:ascii="Times New Roman" w:hAnsi="Times New Roman"/>
        </w:rPr>
        <w:t>.</w:t>
      </w:r>
      <w:r w:rsidRPr="00DF2058">
        <w:rPr>
          <w:rFonts w:ascii="Times New Roman" w:hAnsi="Times New Roman"/>
        </w:rPr>
        <w:t xml:space="preserve"> births).</w:t>
      </w:r>
    </w:p>
    <w:p w:rsidR="00DF2058" w:rsidRPr="00DF2058" w:rsidRDefault="00DF2058" w:rsidP="004850B6">
      <w:pPr>
        <w:pStyle w:val="CommentText"/>
        <w:spacing w:line="360" w:lineRule="auto"/>
        <w:rPr>
          <w:rFonts w:ascii="Times New Roman" w:hAnsi="Times New Roman"/>
        </w:rPr>
      </w:pPr>
      <w:r w:rsidRPr="00DF2058">
        <w:rPr>
          <w:rFonts w:ascii="Times New Roman" w:hAnsi="Times New Roman"/>
        </w:rPr>
        <w:t>We now have employment best estimates that are robust and these can be used to estimate turnover figures by using the turnover to employment ratios</w:t>
      </w:r>
      <w:r w:rsidR="0076661F">
        <w:rPr>
          <w:rFonts w:ascii="Times New Roman" w:hAnsi="Times New Roman"/>
        </w:rPr>
        <w:t>.</w:t>
      </w:r>
      <w:r w:rsidRPr="00DF2058">
        <w:rPr>
          <w:rFonts w:ascii="Times New Roman" w:hAnsi="Times New Roman"/>
        </w:rPr>
        <w:t xml:space="preserve"> This </w:t>
      </w:r>
      <w:r w:rsidR="0076661F">
        <w:rPr>
          <w:rFonts w:ascii="Times New Roman" w:hAnsi="Times New Roman"/>
        </w:rPr>
        <w:t>was</w:t>
      </w:r>
      <w:r w:rsidRPr="00DF2058">
        <w:rPr>
          <w:rFonts w:ascii="Times New Roman" w:hAnsi="Times New Roman"/>
        </w:rPr>
        <w:t xml:space="preserve"> done for all companies with turnover not provided and calculated for </w:t>
      </w:r>
      <w:r w:rsidRPr="00932EB4">
        <w:rPr>
          <w:rFonts w:ascii="Times New Roman" w:hAnsi="Times New Roman"/>
        </w:rPr>
        <w:t xml:space="preserve">all </w:t>
      </w:r>
      <w:r w:rsidR="00E050C9" w:rsidRPr="00932EB4">
        <w:rPr>
          <w:rFonts w:ascii="Times New Roman" w:hAnsi="Times New Roman"/>
        </w:rPr>
        <w:t>seven</w:t>
      </w:r>
      <w:r w:rsidRPr="00932EB4">
        <w:rPr>
          <w:rFonts w:ascii="Times New Roman" w:hAnsi="Times New Roman"/>
        </w:rPr>
        <w:t xml:space="preserve"> years </w:t>
      </w:r>
      <w:r w:rsidRPr="00DF2058">
        <w:rPr>
          <w:rFonts w:ascii="Times New Roman" w:hAnsi="Times New Roman"/>
        </w:rPr>
        <w:t>(with missing values where the employment figure is missing).</w:t>
      </w:r>
    </w:p>
    <w:p w:rsidR="00F213C7" w:rsidRDefault="00F213C7" w:rsidP="00DF2058">
      <w:pPr>
        <w:rPr>
          <w:rFonts w:ascii="Times New Roman" w:hAnsi="Times New Roman" w:cs="Times New Roman"/>
          <w:sz w:val="24"/>
          <w:szCs w:val="24"/>
        </w:rPr>
      </w:pPr>
    </w:p>
    <w:p w:rsidR="003B374E" w:rsidRDefault="004850B6" w:rsidP="00DF2058">
      <w:pPr>
        <w:rPr>
          <w:rFonts w:ascii="Times New Roman" w:hAnsi="Times New Roman" w:cs="Times New Roman"/>
          <w:sz w:val="24"/>
          <w:szCs w:val="24"/>
        </w:rPr>
      </w:pPr>
      <w:r>
        <w:rPr>
          <w:rFonts w:ascii="Times New Roman" w:hAnsi="Times New Roman" w:cs="Times New Roman"/>
          <w:sz w:val="24"/>
          <w:szCs w:val="24"/>
        </w:rPr>
        <w:t>Andy Cosh</w:t>
      </w:r>
      <w:r w:rsidR="00F213C7">
        <w:rPr>
          <w:rFonts w:ascii="Times New Roman" w:hAnsi="Times New Roman" w:cs="Times New Roman"/>
          <w:sz w:val="24"/>
          <w:szCs w:val="24"/>
        </w:rPr>
        <w:t xml:space="preserve">, </w:t>
      </w:r>
      <w:r w:rsidR="00014193">
        <w:rPr>
          <w:rFonts w:ascii="Times New Roman" w:hAnsi="Times New Roman" w:cs="Times New Roman"/>
          <w:sz w:val="24"/>
          <w:szCs w:val="24"/>
        </w:rPr>
        <w:t>Senior Research Associate</w:t>
      </w:r>
    </w:p>
    <w:p w:rsidR="003B374E" w:rsidRDefault="003B374E" w:rsidP="00DF2058">
      <w:pPr>
        <w:rPr>
          <w:rFonts w:ascii="Times New Roman" w:hAnsi="Times New Roman" w:cs="Times New Roman"/>
          <w:sz w:val="24"/>
          <w:szCs w:val="24"/>
        </w:rPr>
      </w:pPr>
      <w:r>
        <w:rPr>
          <w:rFonts w:ascii="Times New Roman" w:hAnsi="Times New Roman" w:cs="Times New Roman"/>
          <w:sz w:val="24"/>
          <w:szCs w:val="24"/>
        </w:rPr>
        <w:t>Centre for Business Research</w:t>
      </w:r>
      <w:r w:rsidR="00F213C7">
        <w:rPr>
          <w:rFonts w:ascii="Times New Roman" w:hAnsi="Times New Roman" w:cs="Times New Roman"/>
          <w:sz w:val="24"/>
          <w:szCs w:val="24"/>
        </w:rPr>
        <w:t xml:space="preserve">, </w:t>
      </w:r>
      <w:r>
        <w:rPr>
          <w:rFonts w:ascii="Times New Roman" w:hAnsi="Times New Roman" w:cs="Times New Roman"/>
          <w:sz w:val="24"/>
          <w:szCs w:val="24"/>
        </w:rPr>
        <w:t>University of Cambridge</w:t>
      </w:r>
    </w:p>
    <w:p w:rsidR="004850B6" w:rsidRDefault="00014193" w:rsidP="00DF2058">
      <w:pPr>
        <w:rPr>
          <w:rFonts w:ascii="Times New Roman" w:hAnsi="Times New Roman" w:cs="Times New Roman"/>
          <w:sz w:val="24"/>
          <w:szCs w:val="24"/>
        </w:rPr>
      </w:pPr>
      <w:r>
        <w:rPr>
          <w:rFonts w:ascii="Times New Roman" w:hAnsi="Times New Roman" w:cs="Times New Roman"/>
          <w:sz w:val="24"/>
          <w:szCs w:val="24"/>
        </w:rPr>
        <w:t>May 2018</w:t>
      </w:r>
    </w:p>
    <w:p w:rsidR="008B6DC0" w:rsidRDefault="008B6DC0" w:rsidP="00DF2058">
      <w:pPr>
        <w:rPr>
          <w:rFonts w:ascii="Times New Roman" w:hAnsi="Times New Roman" w:cs="Times New Roman"/>
          <w:sz w:val="24"/>
          <w:szCs w:val="24"/>
        </w:rPr>
      </w:pPr>
    </w:p>
    <w:p w:rsidR="00706FE0" w:rsidRDefault="00706FE0" w:rsidP="00DF2058">
      <w:pPr>
        <w:rPr>
          <w:rFonts w:ascii="Times New Roman" w:hAnsi="Times New Roman" w:cs="Times New Roman"/>
          <w:sz w:val="24"/>
          <w:szCs w:val="24"/>
        </w:rPr>
      </w:pPr>
    </w:p>
    <w:p w:rsidR="00706FE0" w:rsidRDefault="00706FE0" w:rsidP="00DF2058">
      <w:pPr>
        <w:rPr>
          <w:rFonts w:ascii="Times New Roman" w:hAnsi="Times New Roman" w:cs="Times New Roman"/>
          <w:sz w:val="24"/>
          <w:szCs w:val="24"/>
        </w:rPr>
      </w:pPr>
    </w:p>
    <w:p w:rsidR="008B6DC0" w:rsidRPr="001B4762" w:rsidRDefault="008B6DC0" w:rsidP="00DF2058">
      <w:pPr>
        <w:rPr>
          <w:rFonts w:ascii="Times New Roman" w:hAnsi="Times New Roman" w:cs="Times New Roman"/>
          <w:b/>
          <w:sz w:val="24"/>
          <w:szCs w:val="24"/>
        </w:rPr>
      </w:pPr>
      <w:r w:rsidRPr="001B4762">
        <w:rPr>
          <w:rFonts w:ascii="Times New Roman" w:hAnsi="Times New Roman" w:cs="Times New Roman"/>
          <w:b/>
          <w:sz w:val="24"/>
          <w:szCs w:val="24"/>
        </w:rPr>
        <w:t>Annex 1</w:t>
      </w:r>
      <w:r w:rsidRPr="001B4762">
        <w:rPr>
          <w:rFonts w:ascii="Times New Roman" w:hAnsi="Times New Roman" w:cs="Times New Roman"/>
          <w:b/>
          <w:sz w:val="24"/>
          <w:szCs w:val="24"/>
        </w:rPr>
        <w:tab/>
      </w:r>
      <w:r w:rsidR="00932EB4" w:rsidRPr="00932EB4">
        <w:rPr>
          <w:rFonts w:ascii="Times New Roman" w:hAnsi="Times New Roman" w:cs="Times New Roman"/>
          <w:b/>
          <w:sz w:val="24"/>
          <w:szCs w:val="24"/>
        </w:rPr>
        <w:t>Non-corporate Research Institutions – Methodology</w:t>
      </w:r>
    </w:p>
    <w:p w:rsidR="008B6DC0" w:rsidRPr="00932EB4" w:rsidRDefault="008B6DC0" w:rsidP="00DF2058">
      <w:pPr>
        <w:rPr>
          <w:rFonts w:ascii="Times New Roman" w:hAnsi="Times New Roman" w:cs="Times New Roman"/>
          <w:b/>
          <w:sz w:val="24"/>
          <w:szCs w:val="24"/>
        </w:rPr>
      </w:pPr>
    </w:p>
    <w:p w:rsidR="008B6DC0" w:rsidRPr="001B4762" w:rsidRDefault="008B6DC0" w:rsidP="00DF2058">
      <w:pPr>
        <w:rPr>
          <w:rFonts w:ascii="Times New Roman" w:hAnsi="Times New Roman" w:cs="Times New Roman"/>
          <w:b/>
          <w:sz w:val="24"/>
          <w:szCs w:val="24"/>
        </w:rPr>
      </w:pPr>
      <w:r w:rsidRPr="001B4762">
        <w:rPr>
          <w:rFonts w:ascii="Times New Roman" w:hAnsi="Times New Roman" w:cs="Times New Roman"/>
          <w:b/>
          <w:sz w:val="24"/>
          <w:szCs w:val="24"/>
        </w:rPr>
        <w:t xml:space="preserve">Annex 2 </w:t>
      </w:r>
      <w:r w:rsidRPr="001B4762">
        <w:rPr>
          <w:rFonts w:ascii="Times New Roman" w:hAnsi="Times New Roman" w:cs="Times New Roman"/>
          <w:b/>
          <w:sz w:val="24"/>
          <w:szCs w:val="24"/>
        </w:rPr>
        <w:tab/>
        <w:t>Methodology update for 20</w:t>
      </w:r>
      <w:r w:rsidR="00014193">
        <w:rPr>
          <w:rFonts w:ascii="Times New Roman" w:hAnsi="Times New Roman" w:cs="Times New Roman"/>
          <w:b/>
          <w:sz w:val="24"/>
          <w:szCs w:val="24"/>
        </w:rPr>
        <w:t>16/17</w:t>
      </w:r>
      <w:r w:rsidRPr="001B4762">
        <w:rPr>
          <w:rFonts w:ascii="Times New Roman" w:hAnsi="Times New Roman" w:cs="Times New Roman"/>
          <w:b/>
          <w:sz w:val="24"/>
          <w:szCs w:val="24"/>
        </w:rPr>
        <w:t xml:space="preserve"> draw</w:t>
      </w:r>
    </w:p>
    <w:p w:rsidR="008B6DC0" w:rsidRDefault="008B6DC0" w:rsidP="00DF2058">
      <w:pPr>
        <w:rPr>
          <w:rFonts w:ascii="Times New Roman" w:hAnsi="Times New Roman" w:cs="Times New Roman"/>
          <w:sz w:val="24"/>
          <w:szCs w:val="24"/>
        </w:rPr>
      </w:pPr>
    </w:p>
    <w:p w:rsidR="008B6DC0" w:rsidRDefault="008B6DC0">
      <w:pP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8B6DC0" w:rsidRPr="00E050C9" w:rsidRDefault="008B6DC0" w:rsidP="008B6DC0">
      <w:pPr>
        <w:rPr>
          <w:rFonts w:ascii="Times New Roman" w:hAnsi="Times New Roman" w:cs="Times New Roman"/>
          <w:b/>
          <w:sz w:val="28"/>
          <w:szCs w:val="28"/>
        </w:rPr>
      </w:pPr>
      <w:r w:rsidRPr="00E050C9">
        <w:rPr>
          <w:rFonts w:ascii="Times New Roman" w:hAnsi="Times New Roman" w:cs="Times New Roman"/>
          <w:b/>
          <w:sz w:val="28"/>
          <w:szCs w:val="28"/>
        </w:rPr>
        <w:lastRenderedPageBreak/>
        <w:t>Annex 1</w:t>
      </w:r>
      <w:r w:rsidRPr="00E050C9">
        <w:rPr>
          <w:rFonts w:ascii="Times New Roman" w:hAnsi="Times New Roman" w:cs="Times New Roman"/>
          <w:b/>
          <w:sz w:val="28"/>
          <w:szCs w:val="28"/>
        </w:rPr>
        <w:tab/>
        <w:t>Non-corporate Research Institutions – Methodology</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The significance of research-based non-corporate organisations in the Cambridge region led to the decision to include them on the Cluster Map. This note concerns how the data was gathered.</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1. Institutions were approached by email and/or telephone for their employment data. Only universities and some hospitals provided sufficient detail to enable us to separate knowledge intensive from non-knowledge intensive employment. Figures for all other institutions are total employment.</w:t>
      </w:r>
    </w:p>
    <w:p w:rsidR="008B6DC0" w:rsidRPr="00E050C9" w:rsidRDefault="008B6DC0" w:rsidP="00B205E9">
      <w:pPr>
        <w:spacing w:line="360" w:lineRule="auto"/>
        <w:rPr>
          <w:rFonts w:ascii="Times New Roman" w:hAnsi="Times New Roman" w:cs="Times New Roman"/>
          <w:b/>
          <w:sz w:val="24"/>
          <w:szCs w:val="24"/>
        </w:rPr>
      </w:pPr>
      <w:r w:rsidRPr="00E050C9">
        <w:rPr>
          <w:rFonts w:ascii="Times New Roman" w:hAnsi="Times New Roman" w:cs="Times New Roman"/>
          <w:sz w:val="24"/>
          <w:szCs w:val="24"/>
        </w:rPr>
        <w:t>2.</w:t>
      </w:r>
      <w:r w:rsidRPr="00E050C9">
        <w:rPr>
          <w:rFonts w:ascii="Times New Roman" w:hAnsi="Times New Roman" w:cs="Times New Roman"/>
          <w:b/>
          <w:sz w:val="24"/>
          <w:szCs w:val="24"/>
        </w:rPr>
        <w:t xml:space="preserve"> University of Cambridge data</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a) </w:t>
      </w:r>
      <w:r w:rsidRPr="00E050C9">
        <w:rPr>
          <w:rFonts w:ascii="Times New Roman" w:hAnsi="Times New Roman" w:cs="Times New Roman"/>
          <w:b/>
          <w:sz w:val="24"/>
          <w:szCs w:val="24"/>
        </w:rPr>
        <w:t>University staff</w:t>
      </w:r>
      <w:r w:rsidRPr="00E050C9">
        <w:rPr>
          <w:rFonts w:ascii="Times New Roman" w:hAnsi="Times New Roman" w:cs="Times New Roman"/>
          <w:sz w:val="24"/>
          <w:szCs w:val="24"/>
        </w:rPr>
        <w:t xml:space="preserve"> headcount data are provided by the University. The figures differ from those in the University’s </w:t>
      </w:r>
      <w:proofErr w:type="spellStart"/>
      <w:r w:rsidRPr="00E050C9">
        <w:rPr>
          <w:rFonts w:ascii="Times New Roman" w:hAnsi="Times New Roman" w:cs="Times New Roman"/>
          <w:sz w:val="24"/>
          <w:szCs w:val="24"/>
        </w:rPr>
        <w:t>Databooks</w:t>
      </w:r>
      <w:proofErr w:type="spellEnd"/>
      <w:r w:rsidRPr="00E050C9">
        <w:rPr>
          <w:rFonts w:ascii="Times New Roman" w:hAnsi="Times New Roman" w:cs="Times New Roman"/>
          <w:sz w:val="24"/>
          <w:szCs w:val="24"/>
        </w:rPr>
        <w:t xml:space="preserve"> by virtue of inclusion here of zero-hours contracts.</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The figures </w:t>
      </w:r>
      <w:r w:rsidRPr="00932EB4">
        <w:rPr>
          <w:rFonts w:ascii="Times New Roman" w:hAnsi="Times New Roman" w:cs="Times New Roman"/>
          <w:sz w:val="24"/>
          <w:szCs w:val="24"/>
        </w:rPr>
        <w:t xml:space="preserve">shown in the </w:t>
      </w:r>
      <w:r w:rsidR="00932EB4" w:rsidRPr="00932EB4">
        <w:rPr>
          <w:rFonts w:ascii="Times New Roman" w:hAnsi="Times New Roman" w:cs="Times New Roman"/>
          <w:sz w:val="24"/>
          <w:szCs w:val="24"/>
        </w:rPr>
        <w:t>cluster map</w:t>
      </w:r>
      <w:r w:rsidRPr="00932EB4">
        <w:rPr>
          <w:rFonts w:ascii="Times New Roman" w:hAnsi="Times New Roman" w:cs="Times New Roman"/>
          <w:sz w:val="24"/>
          <w:szCs w:val="24"/>
        </w:rPr>
        <w:t xml:space="preserve"> are for</w:t>
      </w:r>
      <w:r w:rsidRPr="00E050C9">
        <w:rPr>
          <w:rFonts w:ascii="Times New Roman" w:hAnsi="Times New Roman" w:cs="Times New Roman"/>
          <w:sz w:val="24"/>
          <w:szCs w:val="24"/>
        </w:rPr>
        <w:t xml:space="preserve"> Academic plus Academic-Related plus Research staff employed in all Schools and in Council/General Board/Unified Admin</w:t>
      </w:r>
      <w:r w:rsidR="000A4A8D">
        <w:rPr>
          <w:rFonts w:ascii="Times New Roman" w:hAnsi="Times New Roman" w:cs="Times New Roman"/>
          <w:sz w:val="24"/>
          <w:szCs w:val="24"/>
        </w:rPr>
        <w:t>istrative Service institutions.</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Institutions </w:t>
      </w:r>
      <w:r w:rsidRPr="00E050C9">
        <w:rPr>
          <w:rFonts w:ascii="Times New Roman" w:hAnsi="Times New Roman" w:cs="Times New Roman"/>
          <w:i/>
          <w:sz w:val="24"/>
          <w:szCs w:val="24"/>
        </w:rPr>
        <w:t>excluded</w:t>
      </w:r>
      <w:r w:rsidRPr="00E050C9">
        <w:rPr>
          <w:rFonts w:ascii="Times New Roman" w:hAnsi="Times New Roman" w:cs="Times New Roman"/>
          <w:sz w:val="24"/>
          <w:szCs w:val="24"/>
        </w:rPr>
        <w:t xml:space="preserve"> from the University headcount are:</w:t>
      </w:r>
    </w:p>
    <w:p w:rsidR="008B6DC0" w:rsidRPr="00E050C9" w:rsidRDefault="000A4A8D" w:rsidP="00B205E9">
      <w:pPr>
        <w:spacing w:after="0"/>
        <w:ind w:left="851"/>
        <w:rPr>
          <w:rFonts w:ascii="Times New Roman" w:hAnsi="Times New Roman" w:cs="Times New Roman"/>
          <w:sz w:val="24"/>
          <w:szCs w:val="24"/>
        </w:rPr>
      </w:pPr>
      <w:r>
        <w:rPr>
          <w:rFonts w:ascii="Times New Roman" w:hAnsi="Times New Roman" w:cs="Times New Roman"/>
          <w:sz w:val="24"/>
          <w:szCs w:val="24"/>
        </w:rPr>
        <w:t>“</w:t>
      </w:r>
      <w:r w:rsidR="008B6DC0" w:rsidRPr="00E050C9">
        <w:rPr>
          <w:rFonts w:ascii="Times New Roman" w:hAnsi="Times New Roman" w:cs="Times New Roman"/>
          <w:sz w:val="24"/>
          <w:szCs w:val="24"/>
        </w:rPr>
        <w:t>External</w:t>
      </w:r>
      <w:r>
        <w:rPr>
          <w:rFonts w:ascii="Times New Roman" w:hAnsi="Times New Roman" w:cs="Times New Roman"/>
          <w:sz w:val="24"/>
          <w:szCs w:val="24"/>
        </w:rPr>
        <w:t>”</w:t>
      </w:r>
      <w:r w:rsidR="008B6DC0" w:rsidRPr="00E050C9">
        <w:rPr>
          <w:rFonts w:ascii="Times New Roman" w:hAnsi="Times New Roman" w:cs="Times New Roman"/>
          <w:sz w:val="24"/>
          <w:szCs w:val="24"/>
        </w:rPr>
        <w:t xml:space="preserve"> employees of the ADC</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Cambridge Enterprise [NB included in Corporates]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Gates Cambridge Trust</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Malaysian Commonwealth Studies Trust</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Judge Executive Education</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Needham Research Institute</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Strangeways Research Lab [= PHG Foundation in Research Institutes list]</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The Commonwealth, European and International Trust</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The Dental Practice</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The Sports &amp; Social Club</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Great St Mary</w:t>
      </w:r>
      <w:r w:rsidR="000A4A8D">
        <w:rPr>
          <w:rFonts w:ascii="Times New Roman" w:hAnsi="Times New Roman" w:cs="Times New Roman"/>
          <w:sz w:val="24"/>
          <w:szCs w:val="24"/>
        </w:rPr>
        <w:t>’</w:t>
      </w:r>
      <w:r w:rsidRPr="00E050C9">
        <w:rPr>
          <w:rFonts w:ascii="Times New Roman" w:hAnsi="Times New Roman" w:cs="Times New Roman"/>
          <w:sz w:val="24"/>
          <w:szCs w:val="24"/>
        </w:rPr>
        <w:t>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Cambridge University Press</w:t>
      </w:r>
    </w:p>
    <w:p w:rsidR="008B6DC0" w:rsidRDefault="008B6DC0" w:rsidP="000A4A8D">
      <w:pPr>
        <w:spacing w:after="0"/>
        <w:ind w:left="851"/>
        <w:rPr>
          <w:rFonts w:ascii="Times New Roman" w:hAnsi="Times New Roman" w:cs="Times New Roman"/>
          <w:sz w:val="24"/>
          <w:szCs w:val="24"/>
        </w:rPr>
      </w:pPr>
      <w:r w:rsidRPr="00E050C9">
        <w:rPr>
          <w:rFonts w:ascii="Times New Roman" w:hAnsi="Times New Roman" w:cs="Times New Roman"/>
          <w:sz w:val="24"/>
          <w:szCs w:val="24"/>
        </w:rPr>
        <w:t>Cambridge Assessment</w:t>
      </w:r>
    </w:p>
    <w:p w:rsidR="000A4A8D" w:rsidRPr="00932EB4" w:rsidRDefault="000A4A8D" w:rsidP="000A4A8D">
      <w:pPr>
        <w:spacing w:after="0"/>
        <w:ind w:left="851"/>
        <w:rPr>
          <w:rFonts w:ascii="Times New Roman" w:hAnsi="Times New Roman" w:cs="Times New Roman"/>
          <w:sz w:val="24"/>
          <w:szCs w:val="24"/>
        </w:rPr>
      </w:pPr>
      <w:r w:rsidRPr="00932EB4">
        <w:rPr>
          <w:rFonts w:ascii="Times New Roman" w:hAnsi="Times New Roman" w:cs="Times New Roman"/>
          <w:sz w:val="24"/>
          <w:szCs w:val="24"/>
        </w:rPr>
        <w:t>MRC Mitochondrial Biology Unit</w:t>
      </w:r>
    </w:p>
    <w:p w:rsidR="000A4A8D" w:rsidRPr="00932EB4" w:rsidRDefault="000A4A8D" w:rsidP="000A4A8D">
      <w:pPr>
        <w:spacing w:after="0"/>
        <w:ind w:left="851"/>
        <w:rPr>
          <w:rFonts w:ascii="Times New Roman" w:hAnsi="Times New Roman" w:cs="Times New Roman"/>
          <w:sz w:val="24"/>
          <w:szCs w:val="24"/>
        </w:rPr>
      </w:pPr>
      <w:r w:rsidRPr="00932EB4">
        <w:rPr>
          <w:rFonts w:ascii="Times New Roman" w:hAnsi="Times New Roman" w:cs="Times New Roman"/>
          <w:sz w:val="24"/>
          <w:szCs w:val="24"/>
        </w:rPr>
        <w:t>MRC Cognition and Brain Sciences Unit</w:t>
      </w:r>
    </w:p>
    <w:p w:rsidR="000A4A8D" w:rsidRPr="00932EB4" w:rsidRDefault="000A4A8D" w:rsidP="00B205E9">
      <w:pPr>
        <w:ind w:left="851"/>
        <w:rPr>
          <w:rFonts w:ascii="Times New Roman" w:hAnsi="Times New Roman" w:cs="Times New Roman"/>
          <w:sz w:val="24"/>
          <w:szCs w:val="24"/>
        </w:rPr>
      </w:pPr>
      <w:r w:rsidRPr="00932EB4">
        <w:rPr>
          <w:rFonts w:ascii="Times New Roman" w:hAnsi="Times New Roman" w:cs="Times New Roman"/>
          <w:sz w:val="24"/>
          <w:szCs w:val="24"/>
        </w:rPr>
        <w:t>MRC Biostatistics Unit</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Most of these excluded units appear separately on the Cluster map. Figures shown in the non-corporate section for </w:t>
      </w:r>
      <w:r w:rsidRPr="00E050C9">
        <w:rPr>
          <w:rFonts w:ascii="Times New Roman" w:hAnsi="Times New Roman" w:cs="Times New Roman"/>
          <w:b/>
          <w:sz w:val="24"/>
          <w:szCs w:val="24"/>
        </w:rPr>
        <w:t>Cambridge University Press</w:t>
      </w:r>
      <w:r w:rsidRPr="00E050C9">
        <w:rPr>
          <w:rFonts w:ascii="Times New Roman" w:hAnsi="Times New Roman" w:cs="Times New Roman"/>
          <w:sz w:val="24"/>
          <w:szCs w:val="24"/>
        </w:rPr>
        <w:t xml:space="preserve"> and </w:t>
      </w:r>
      <w:r w:rsidRPr="00E050C9">
        <w:rPr>
          <w:rFonts w:ascii="Times New Roman" w:hAnsi="Times New Roman" w:cs="Times New Roman"/>
          <w:b/>
          <w:sz w:val="24"/>
          <w:szCs w:val="24"/>
        </w:rPr>
        <w:t>Cambridge Assessment</w:t>
      </w:r>
      <w:r w:rsidRPr="00E050C9">
        <w:rPr>
          <w:rFonts w:ascii="Times New Roman" w:hAnsi="Times New Roman" w:cs="Times New Roman"/>
          <w:sz w:val="24"/>
          <w:szCs w:val="24"/>
        </w:rPr>
        <w:t xml:space="preserve"> are for Cambridge-based staff employed by “The Chancellor, Masters, and Scholars of the </w:t>
      </w:r>
      <w:r w:rsidRPr="00E050C9">
        <w:rPr>
          <w:rFonts w:ascii="Times New Roman" w:hAnsi="Times New Roman" w:cs="Times New Roman"/>
          <w:sz w:val="24"/>
          <w:szCs w:val="24"/>
        </w:rPr>
        <w:lastRenderedPageBreak/>
        <w:t>University of Cambridge”; Cambridge-based staff employed at corporate subsidiaries are excluded but are shown in the Clus</w:t>
      </w:r>
      <w:r w:rsidR="00F517E7">
        <w:rPr>
          <w:rFonts w:ascii="Times New Roman" w:hAnsi="Times New Roman" w:cs="Times New Roman"/>
          <w:sz w:val="24"/>
          <w:szCs w:val="24"/>
        </w:rPr>
        <w:t>ter Map for corporate entities.</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b) </w:t>
      </w:r>
      <w:r w:rsidRPr="00E050C9">
        <w:rPr>
          <w:rFonts w:ascii="Times New Roman" w:hAnsi="Times New Roman" w:cs="Times New Roman"/>
          <w:b/>
          <w:sz w:val="24"/>
          <w:szCs w:val="24"/>
        </w:rPr>
        <w:t>Cambridge University research students</w:t>
      </w:r>
      <w:r w:rsidRPr="00E050C9">
        <w:rPr>
          <w:rFonts w:ascii="Times New Roman" w:hAnsi="Times New Roman" w:cs="Times New Roman"/>
          <w:sz w:val="24"/>
          <w:szCs w:val="24"/>
        </w:rPr>
        <w:t xml:space="preserve">: the source </w:t>
      </w:r>
      <w:r w:rsidR="00932EB4">
        <w:rPr>
          <w:rFonts w:ascii="Times New Roman" w:hAnsi="Times New Roman" w:cs="Times New Roman"/>
          <w:sz w:val="24"/>
          <w:szCs w:val="24"/>
        </w:rPr>
        <w:t xml:space="preserve">for our numbers here </w:t>
      </w:r>
      <w:r w:rsidRPr="00E050C9">
        <w:rPr>
          <w:rFonts w:ascii="Times New Roman" w:hAnsi="Times New Roman" w:cs="Times New Roman"/>
          <w:sz w:val="24"/>
          <w:szCs w:val="24"/>
        </w:rPr>
        <w:t>is</w:t>
      </w:r>
      <w:r w:rsidR="00932EB4">
        <w:rPr>
          <w:rFonts w:ascii="Times New Roman" w:hAnsi="Times New Roman" w:cs="Times New Roman"/>
          <w:sz w:val="24"/>
          <w:szCs w:val="24"/>
        </w:rPr>
        <w:t>:</w:t>
      </w:r>
      <w:r w:rsidRPr="00E050C9">
        <w:rPr>
          <w:rFonts w:ascii="Times New Roman" w:hAnsi="Times New Roman" w:cs="Times New Roman"/>
          <w:sz w:val="24"/>
          <w:szCs w:val="24"/>
        </w:rPr>
        <w:t xml:space="preserve"> (</w:t>
      </w:r>
      <w:hyperlink r:id="rId11" w:history="1">
        <w:r w:rsidR="00040C49" w:rsidRPr="00593B16">
          <w:rPr>
            <w:rStyle w:val="Hyperlink"/>
            <w:rFonts w:ascii="Times New Roman" w:hAnsi="Times New Roman" w:cs="Times New Roman"/>
            <w:sz w:val="24"/>
            <w:szCs w:val="24"/>
          </w:rPr>
          <w:t>https://www.prao.admin.cam.ac.uk/data-analysis-planning/student-numbers/snapshot-courseschooldepartment</w:t>
        </w:r>
      </w:hyperlink>
      <w:r w:rsidRPr="00E050C9">
        <w:rPr>
          <w:rFonts w:ascii="Times New Roman" w:hAnsi="Times New Roman" w:cs="Times New Roman"/>
          <w:sz w:val="24"/>
          <w:szCs w:val="24"/>
        </w:rPr>
        <w:t xml:space="preserve">), published by the University. We include full time research students (PGR) in all faculties but we exclude part time students and those writing up, who are likely to be present </w:t>
      </w:r>
      <w:r w:rsidR="00040C49">
        <w:rPr>
          <w:rFonts w:ascii="Times New Roman" w:hAnsi="Times New Roman" w:cs="Times New Roman"/>
          <w:sz w:val="24"/>
          <w:szCs w:val="24"/>
        </w:rPr>
        <w:t>only occasionally in Cambridge.</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The PGR classification </w:t>
      </w:r>
      <w:r w:rsidR="00932EB4">
        <w:rPr>
          <w:rFonts w:ascii="Times New Roman" w:hAnsi="Times New Roman" w:cs="Times New Roman"/>
          <w:sz w:val="24"/>
          <w:szCs w:val="24"/>
        </w:rPr>
        <w:t>was set in 2015 using the then existing</w:t>
      </w:r>
      <w:r w:rsidR="00932EB4" w:rsidRPr="00932EB4">
        <w:rPr>
          <w:rFonts w:ascii="Times New Roman" w:hAnsi="Times New Roman" w:cs="Times New Roman"/>
          <w:sz w:val="24"/>
          <w:szCs w:val="24"/>
        </w:rPr>
        <w:t xml:space="preserve"> </w:t>
      </w:r>
      <w:r w:rsidR="00932EB4" w:rsidRPr="00E050C9">
        <w:rPr>
          <w:rFonts w:ascii="Times New Roman" w:hAnsi="Times New Roman" w:cs="Times New Roman"/>
          <w:sz w:val="24"/>
          <w:szCs w:val="24"/>
        </w:rPr>
        <w:t>HEFCE definitions</w:t>
      </w:r>
      <w:r w:rsidR="00932EB4">
        <w:rPr>
          <w:rFonts w:ascii="Times New Roman" w:hAnsi="Times New Roman" w:cs="Times New Roman"/>
          <w:sz w:val="24"/>
          <w:szCs w:val="24"/>
        </w:rPr>
        <w:t xml:space="preserve"> </w:t>
      </w:r>
      <w:r w:rsidR="00932EB4">
        <w:rPr>
          <w:rFonts w:ascii="Times New Roman" w:hAnsi="Times New Roman" w:cs="Times New Roman"/>
          <w:sz w:val="24"/>
          <w:szCs w:val="24"/>
        </w:rPr>
        <w:t>and has been maintained consistently since that time. It</w:t>
      </w:r>
      <w:r w:rsidRPr="00E050C9">
        <w:rPr>
          <w:rFonts w:ascii="Times New Roman" w:hAnsi="Times New Roman" w:cs="Times New Roman"/>
          <w:sz w:val="24"/>
          <w:szCs w:val="24"/>
        </w:rPr>
        <w:t xml:space="preserve"> includes the following degrees:</w:t>
      </w:r>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Ph.D</w:t>
      </w:r>
      <w:proofErr w:type="spellEnd"/>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Ed.D</w:t>
      </w:r>
      <w:proofErr w:type="spellEnd"/>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Eng.D</w:t>
      </w:r>
      <w:proofErr w:type="spellEnd"/>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M.D.</w:t>
      </w:r>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M.Litt</w:t>
      </w:r>
      <w:proofErr w:type="spellEnd"/>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M.Sc</w:t>
      </w:r>
      <w:proofErr w:type="spellEnd"/>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M.Phil</w:t>
      </w:r>
      <w:proofErr w:type="spellEnd"/>
      <w:r w:rsidRPr="00E050C9">
        <w:rPr>
          <w:rFonts w:ascii="Times New Roman" w:hAnsi="Times New Roman" w:cs="Times New Roman"/>
          <w:sz w:val="24"/>
          <w:szCs w:val="24"/>
        </w:rPr>
        <w:t xml:space="preserve"> excluding a list of 30 programmes (see list below)</w:t>
      </w:r>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M.Res</w:t>
      </w:r>
      <w:proofErr w:type="spellEnd"/>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M.St</w:t>
      </w:r>
      <w:proofErr w:type="spellEnd"/>
    </w:p>
    <w:p w:rsidR="008B6DC0" w:rsidRPr="00E050C9" w:rsidRDefault="008B6DC0" w:rsidP="00B205E9">
      <w:pPr>
        <w:spacing w:after="0"/>
        <w:ind w:left="851"/>
        <w:rPr>
          <w:rFonts w:ascii="Times New Roman" w:hAnsi="Times New Roman" w:cs="Times New Roman"/>
          <w:sz w:val="24"/>
          <w:szCs w:val="24"/>
        </w:rPr>
      </w:pPr>
      <w:proofErr w:type="spellStart"/>
      <w:r w:rsidRPr="00E050C9">
        <w:rPr>
          <w:rFonts w:ascii="Times New Roman" w:hAnsi="Times New Roman" w:cs="Times New Roman"/>
          <w:sz w:val="24"/>
          <w:szCs w:val="24"/>
        </w:rPr>
        <w:t>M.Ed</w:t>
      </w:r>
      <w:proofErr w:type="spellEnd"/>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 xml:space="preserve">Students registered as Probationary </w:t>
      </w:r>
      <w:proofErr w:type="spellStart"/>
      <w:r w:rsidRPr="00E050C9">
        <w:rPr>
          <w:rFonts w:ascii="Times New Roman" w:hAnsi="Times New Roman" w:cs="Times New Roman"/>
          <w:sz w:val="24"/>
          <w:szCs w:val="24"/>
        </w:rPr>
        <w:t>Ph.D</w:t>
      </w:r>
      <w:proofErr w:type="spellEnd"/>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Diploma in International Law</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Diploma in Legal Studies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Certificate of Postgraduate Study</w:t>
      </w:r>
    </w:p>
    <w:p w:rsidR="008B6DC0" w:rsidRPr="00E050C9" w:rsidRDefault="008B6DC0" w:rsidP="00B205E9">
      <w:pPr>
        <w:spacing w:after="0" w:line="360" w:lineRule="auto"/>
        <w:rPr>
          <w:rFonts w:ascii="Times New Roman" w:hAnsi="Times New Roman" w:cs="Times New Roman"/>
          <w:sz w:val="24"/>
          <w:szCs w:val="24"/>
        </w:rPr>
      </w:pP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The list of </w:t>
      </w:r>
      <w:proofErr w:type="spellStart"/>
      <w:r w:rsidRPr="00E050C9">
        <w:rPr>
          <w:rFonts w:ascii="Times New Roman" w:hAnsi="Times New Roman" w:cs="Times New Roman"/>
          <w:sz w:val="24"/>
          <w:szCs w:val="24"/>
        </w:rPr>
        <w:t>M.Phils</w:t>
      </w:r>
      <w:proofErr w:type="spellEnd"/>
      <w:r w:rsidRPr="00E050C9">
        <w:rPr>
          <w:rFonts w:ascii="Times New Roman" w:hAnsi="Times New Roman" w:cs="Times New Roman"/>
          <w:sz w:val="24"/>
          <w:szCs w:val="24"/>
        </w:rPr>
        <w:t xml:space="preserve"> classified as Teaching (PGT) rather than Research degrees is as follows: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Advanced Chemical Engineering</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Advanced Computer Science</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Archaeology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Architecture and Urban Design</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Assyriology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Bioscience Enterprise</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Computational Biology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Conservation Leadership</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Development Studies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Economic Research</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Economics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Egyptology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Energy Technologies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lastRenderedPageBreak/>
        <w:t>Engineering for Sustainable Development</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Environmental Policy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Epidemiology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Finance</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Finance and Economics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Industrial Systems, Manufacturing, and Management</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Innovation, Strategy, and Organization</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Management</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Management Science and Operations</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Micro- and Nanotechnology Enterprise</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Nuclear Energy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Planning, Growth, and Regeneration</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Public Health</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Public Policy</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Real Estate Finance</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Scientific Computing</w:t>
      </w:r>
    </w:p>
    <w:p w:rsidR="008B6DC0" w:rsidRPr="00E050C9" w:rsidRDefault="008B6DC0" w:rsidP="00B205E9">
      <w:pPr>
        <w:spacing w:after="0"/>
        <w:ind w:left="851"/>
        <w:rPr>
          <w:rFonts w:ascii="Times New Roman" w:hAnsi="Times New Roman" w:cs="Times New Roman"/>
          <w:sz w:val="24"/>
          <w:szCs w:val="24"/>
        </w:rPr>
      </w:pPr>
      <w:r w:rsidRPr="00E050C9">
        <w:rPr>
          <w:rFonts w:ascii="Times New Roman" w:hAnsi="Times New Roman" w:cs="Times New Roman"/>
          <w:sz w:val="24"/>
          <w:szCs w:val="24"/>
        </w:rPr>
        <w:t>Technology Policy</w:t>
      </w:r>
    </w:p>
    <w:p w:rsidR="008B6DC0" w:rsidRPr="00E050C9" w:rsidRDefault="008B6DC0" w:rsidP="00B205E9">
      <w:pPr>
        <w:spacing w:line="360" w:lineRule="auto"/>
        <w:rPr>
          <w:rFonts w:ascii="Times New Roman" w:hAnsi="Times New Roman" w:cs="Times New Roman"/>
          <w:sz w:val="24"/>
          <w:szCs w:val="24"/>
        </w:rPr>
      </w:pP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c) </w:t>
      </w:r>
      <w:r w:rsidRPr="00E050C9">
        <w:rPr>
          <w:rFonts w:ascii="Times New Roman" w:hAnsi="Times New Roman" w:cs="Times New Roman"/>
          <w:b/>
          <w:sz w:val="24"/>
          <w:szCs w:val="24"/>
        </w:rPr>
        <w:t>Cambridge Colleges</w:t>
      </w:r>
      <w:r w:rsidRPr="00E050C9">
        <w:rPr>
          <w:rFonts w:ascii="Times New Roman" w:hAnsi="Times New Roman" w:cs="Times New Roman"/>
          <w:sz w:val="24"/>
          <w:szCs w:val="24"/>
        </w:rPr>
        <w:t xml:space="preserve">: </w:t>
      </w:r>
      <w:r w:rsidRPr="00932EB4">
        <w:rPr>
          <w:rFonts w:ascii="Times New Roman" w:hAnsi="Times New Roman" w:cs="Times New Roman"/>
          <w:sz w:val="24"/>
          <w:szCs w:val="24"/>
        </w:rPr>
        <w:t xml:space="preserve">the </w:t>
      </w:r>
      <w:r w:rsidR="00932EB4" w:rsidRPr="00932EB4">
        <w:rPr>
          <w:rFonts w:ascii="Times New Roman" w:hAnsi="Times New Roman" w:cs="Times New Roman"/>
          <w:sz w:val="24"/>
          <w:szCs w:val="24"/>
        </w:rPr>
        <w:t>c</w:t>
      </w:r>
      <w:r w:rsidR="00932EB4">
        <w:rPr>
          <w:rFonts w:ascii="Times New Roman" w:hAnsi="Times New Roman" w:cs="Times New Roman"/>
          <w:sz w:val="24"/>
          <w:szCs w:val="24"/>
        </w:rPr>
        <w:t>luster map</w:t>
      </w:r>
      <w:r w:rsidRPr="00E050C9">
        <w:rPr>
          <w:rFonts w:ascii="Times New Roman" w:hAnsi="Times New Roman" w:cs="Times New Roman"/>
          <w:sz w:val="24"/>
          <w:szCs w:val="24"/>
        </w:rPr>
        <w:t xml:space="preserve"> shows full-time equivalent (FTE) College Teaching Officers (CTOs) plus </w:t>
      </w:r>
      <w:r w:rsidRPr="00706FE0">
        <w:rPr>
          <w:rFonts w:ascii="Times New Roman" w:hAnsi="Times New Roman" w:cs="Times New Roman"/>
          <w:sz w:val="24"/>
          <w:szCs w:val="24"/>
        </w:rPr>
        <w:t xml:space="preserve">stipendiary Research Fellows for all 31 colleges. CTO data </w:t>
      </w:r>
      <w:r w:rsidR="00416683" w:rsidRPr="00706FE0">
        <w:rPr>
          <w:rFonts w:ascii="Times New Roman" w:hAnsi="Times New Roman" w:cs="Times New Roman"/>
          <w:sz w:val="24"/>
          <w:szCs w:val="24"/>
        </w:rPr>
        <w:t xml:space="preserve">until 2015/16 are </w:t>
      </w:r>
      <w:r w:rsidRPr="00706FE0">
        <w:rPr>
          <w:rFonts w:ascii="Times New Roman" w:hAnsi="Times New Roman" w:cs="Times New Roman"/>
          <w:sz w:val="24"/>
          <w:szCs w:val="24"/>
        </w:rPr>
        <w:t>from Table 44 of the (unpublished) Cambridge Colleges accounts collected by the Bursars’ Committee</w:t>
      </w:r>
      <w:r w:rsidR="00416683" w:rsidRPr="00706FE0">
        <w:rPr>
          <w:rFonts w:ascii="Times New Roman" w:hAnsi="Times New Roman" w:cs="Times New Roman"/>
          <w:sz w:val="24"/>
          <w:szCs w:val="24"/>
        </w:rPr>
        <w:t>, while data for 2016/17 are provided to us by the Planning and Resource Allocation Office at the University of Cambridge</w:t>
      </w:r>
      <w:r w:rsidRPr="00706FE0">
        <w:rPr>
          <w:rFonts w:ascii="Times New Roman" w:hAnsi="Times New Roman" w:cs="Times New Roman"/>
          <w:sz w:val="24"/>
          <w:szCs w:val="24"/>
        </w:rPr>
        <w:t xml:space="preserve">; however, the </w:t>
      </w:r>
      <w:r w:rsidRPr="00E050C9">
        <w:rPr>
          <w:rFonts w:ascii="Times New Roman" w:hAnsi="Times New Roman" w:cs="Times New Roman"/>
          <w:sz w:val="24"/>
          <w:szCs w:val="24"/>
        </w:rPr>
        <w:t>census date for this table varies from year to year and it is unclear for example whether a 1 October census shown in Table 44 of the 2015 accounts refers to 2015 or 2016. The Bursars’ Committee survey of Research Fellows was last conducted in 2010-11, when 180 such Fellows were identified (excluding 6 Title B Fellows at Trinity). We assume that this number has held steady over time across all Colleges.</w:t>
      </w:r>
    </w:p>
    <w:p w:rsidR="008B6DC0" w:rsidRPr="00706FE0"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Non-academic staff (FTE) totals</w:t>
      </w:r>
      <w:r w:rsidR="00706FE0">
        <w:rPr>
          <w:rFonts w:ascii="Times New Roman" w:hAnsi="Times New Roman" w:cs="Times New Roman"/>
          <w:sz w:val="24"/>
          <w:szCs w:val="24"/>
        </w:rPr>
        <w:t xml:space="preserve"> are</w:t>
      </w:r>
      <w:r w:rsidRPr="00E050C9">
        <w:rPr>
          <w:rFonts w:ascii="Times New Roman" w:hAnsi="Times New Roman" w:cs="Times New Roman"/>
          <w:sz w:val="24"/>
          <w:szCs w:val="24"/>
        </w:rPr>
        <w:t xml:space="preserve"> taken directly from the (unpublished) Cambridge Colleges </w:t>
      </w:r>
      <w:r w:rsidRPr="00706FE0">
        <w:rPr>
          <w:rFonts w:ascii="Times New Roman" w:hAnsi="Times New Roman" w:cs="Times New Roman"/>
          <w:sz w:val="24"/>
          <w:szCs w:val="24"/>
        </w:rPr>
        <w:t>accounts</w:t>
      </w:r>
      <w:r w:rsidR="00416683" w:rsidRPr="00706FE0">
        <w:rPr>
          <w:rFonts w:ascii="Times New Roman" w:hAnsi="Times New Roman" w:cs="Times New Roman"/>
          <w:sz w:val="24"/>
          <w:szCs w:val="24"/>
        </w:rPr>
        <w:t xml:space="preserve"> and/or from their annual reports</w:t>
      </w:r>
      <w:r w:rsidR="00706FE0" w:rsidRPr="00706FE0">
        <w:rPr>
          <w:rFonts w:ascii="Times New Roman" w:hAnsi="Times New Roman" w:cs="Times New Roman"/>
          <w:sz w:val="24"/>
          <w:szCs w:val="24"/>
        </w:rPr>
        <w:t>.</w:t>
      </w:r>
    </w:p>
    <w:p w:rsidR="008B6DC0" w:rsidRPr="00706FE0" w:rsidRDefault="008B6DC0" w:rsidP="00B205E9">
      <w:pPr>
        <w:spacing w:line="360" w:lineRule="auto"/>
        <w:rPr>
          <w:rFonts w:ascii="Times New Roman" w:hAnsi="Times New Roman" w:cs="Times New Roman"/>
          <w:sz w:val="24"/>
          <w:szCs w:val="24"/>
        </w:rPr>
      </w:pPr>
      <w:r w:rsidRPr="00706FE0">
        <w:rPr>
          <w:rFonts w:ascii="Times New Roman" w:hAnsi="Times New Roman" w:cs="Times New Roman"/>
          <w:sz w:val="24"/>
          <w:szCs w:val="24"/>
        </w:rPr>
        <w:t xml:space="preserve">3. </w:t>
      </w:r>
      <w:r w:rsidRPr="00706FE0">
        <w:rPr>
          <w:rFonts w:ascii="Times New Roman" w:hAnsi="Times New Roman" w:cs="Times New Roman"/>
          <w:b/>
          <w:sz w:val="24"/>
          <w:szCs w:val="24"/>
        </w:rPr>
        <w:t>Cambridge University Hospitals NHS Foundation Trust</w:t>
      </w:r>
      <w:r w:rsidRPr="00706FE0">
        <w:rPr>
          <w:rFonts w:ascii="Times New Roman" w:hAnsi="Times New Roman" w:cs="Times New Roman"/>
          <w:sz w:val="24"/>
          <w:szCs w:val="24"/>
        </w:rPr>
        <w:t xml:space="preserve">: data </w:t>
      </w:r>
      <w:r w:rsidR="003277B1" w:rsidRPr="00706FE0">
        <w:rPr>
          <w:rFonts w:ascii="Times New Roman" w:hAnsi="Times New Roman" w:cs="Times New Roman"/>
          <w:sz w:val="24"/>
          <w:szCs w:val="24"/>
        </w:rPr>
        <w:t xml:space="preserve">until 2015/16 </w:t>
      </w:r>
      <w:r w:rsidRPr="00706FE0">
        <w:rPr>
          <w:rFonts w:ascii="Times New Roman" w:hAnsi="Times New Roman" w:cs="Times New Roman"/>
          <w:sz w:val="24"/>
          <w:szCs w:val="24"/>
        </w:rPr>
        <w:t xml:space="preserve">are provided </w:t>
      </w:r>
      <w:r w:rsidR="00157F0B" w:rsidRPr="00706FE0">
        <w:rPr>
          <w:rFonts w:ascii="Times New Roman" w:hAnsi="Times New Roman" w:cs="Times New Roman"/>
          <w:sz w:val="24"/>
          <w:szCs w:val="24"/>
        </w:rPr>
        <w:t xml:space="preserve">to us by </w:t>
      </w:r>
      <w:proofErr w:type="spellStart"/>
      <w:r w:rsidR="00157F0B" w:rsidRPr="00706FE0">
        <w:rPr>
          <w:rFonts w:ascii="Times New Roman" w:hAnsi="Times New Roman" w:cs="Times New Roman"/>
          <w:sz w:val="24"/>
          <w:szCs w:val="24"/>
        </w:rPr>
        <w:t>Addenbro</w:t>
      </w:r>
      <w:r w:rsidR="003277B1" w:rsidRPr="00706FE0">
        <w:rPr>
          <w:rFonts w:ascii="Times New Roman" w:hAnsi="Times New Roman" w:cs="Times New Roman"/>
          <w:sz w:val="24"/>
          <w:szCs w:val="24"/>
        </w:rPr>
        <w:t>o</w:t>
      </w:r>
      <w:r w:rsidR="00157F0B" w:rsidRPr="00706FE0">
        <w:rPr>
          <w:rFonts w:ascii="Times New Roman" w:hAnsi="Times New Roman" w:cs="Times New Roman"/>
          <w:sz w:val="24"/>
          <w:szCs w:val="24"/>
        </w:rPr>
        <w:t>kes</w:t>
      </w:r>
      <w:proofErr w:type="spellEnd"/>
      <w:r w:rsidR="003277B1" w:rsidRPr="00706FE0">
        <w:rPr>
          <w:rFonts w:ascii="Times New Roman" w:hAnsi="Times New Roman" w:cs="Times New Roman"/>
          <w:sz w:val="24"/>
          <w:szCs w:val="24"/>
        </w:rPr>
        <w:t>, while the figure for 2016/17 is an estimate based on the equivalent figure one year earlier</w:t>
      </w:r>
      <w:r w:rsidRPr="00706FE0">
        <w:rPr>
          <w:rFonts w:ascii="Times New Roman" w:hAnsi="Times New Roman" w:cs="Times New Roman"/>
          <w:sz w:val="24"/>
          <w:szCs w:val="24"/>
        </w:rPr>
        <w:t>.</w:t>
      </w:r>
    </w:p>
    <w:p w:rsidR="00E77D85" w:rsidRPr="00706FE0" w:rsidRDefault="008B6DC0" w:rsidP="00B205E9">
      <w:pPr>
        <w:spacing w:line="360" w:lineRule="auto"/>
        <w:rPr>
          <w:rFonts w:ascii="Times New Roman" w:hAnsi="Times New Roman" w:cs="Times New Roman"/>
          <w:sz w:val="24"/>
          <w:szCs w:val="24"/>
        </w:rPr>
      </w:pPr>
      <w:r w:rsidRPr="00706FE0">
        <w:rPr>
          <w:rFonts w:ascii="Times New Roman" w:hAnsi="Times New Roman" w:cs="Times New Roman"/>
          <w:sz w:val="24"/>
          <w:szCs w:val="24"/>
        </w:rPr>
        <w:t xml:space="preserve">We exclude from the headcount shown </w:t>
      </w:r>
      <w:r w:rsidR="00706FE0" w:rsidRPr="00706FE0">
        <w:rPr>
          <w:rFonts w:ascii="Times New Roman" w:hAnsi="Times New Roman" w:cs="Times New Roman"/>
          <w:sz w:val="24"/>
          <w:szCs w:val="24"/>
        </w:rPr>
        <w:t>o</w:t>
      </w:r>
      <w:r w:rsidRPr="00706FE0">
        <w:rPr>
          <w:rFonts w:ascii="Times New Roman" w:hAnsi="Times New Roman" w:cs="Times New Roman"/>
          <w:sz w:val="24"/>
          <w:szCs w:val="24"/>
        </w:rPr>
        <w:t xml:space="preserve">n the </w:t>
      </w:r>
      <w:r w:rsidR="00706FE0" w:rsidRPr="00706FE0">
        <w:rPr>
          <w:rFonts w:ascii="Times New Roman" w:hAnsi="Times New Roman" w:cs="Times New Roman"/>
          <w:sz w:val="24"/>
          <w:szCs w:val="24"/>
        </w:rPr>
        <w:t>cluster map</w:t>
      </w:r>
      <w:r w:rsidRPr="00706FE0">
        <w:rPr>
          <w:rFonts w:ascii="Times New Roman" w:hAnsi="Times New Roman" w:cs="Times New Roman"/>
          <w:sz w:val="24"/>
          <w:szCs w:val="24"/>
        </w:rPr>
        <w:t xml:space="preserve"> all staff we assess to be in non-knowledge intensive occupations. </w:t>
      </w:r>
      <w:r w:rsidR="003277B1" w:rsidRPr="00706FE0">
        <w:rPr>
          <w:rFonts w:ascii="Times New Roman" w:hAnsi="Times New Roman" w:cs="Times New Roman"/>
          <w:sz w:val="24"/>
          <w:szCs w:val="24"/>
        </w:rPr>
        <w:t>The figure for 2016/17 include</w:t>
      </w:r>
      <w:r w:rsidR="00706FE0" w:rsidRPr="00706FE0">
        <w:rPr>
          <w:rFonts w:ascii="Times New Roman" w:hAnsi="Times New Roman" w:cs="Times New Roman"/>
          <w:sz w:val="24"/>
          <w:szCs w:val="24"/>
        </w:rPr>
        <w:t>s</w:t>
      </w:r>
      <w:r w:rsidR="003277B1" w:rsidRPr="00706FE0">
        <w:rPr>
          <w:rFonts w:ascii="Times New Roman" w:hAnsi="Times New Roman" w:cs="Times New Roman"/>
          <w:sz w:val="24"/>
          <w:szCs w:val="24"/>
        </w:rPr>
        <w:t xml:space="preserve"> staff </w:t>
      </w:r>
      <w:r w:rsidR="008D5EFA" w:rsidRPr="00706FE0">
        <w:rPr>
          <w:rFonts w:ascii="Times New Roman" w:hAnsi="Times New Roman" w:cs="Times New Roman"/>
          <w:sz w:val="24"/>
          <w:szCs w:val="24"/>
        </w:rPr>
        <w:t>who</w:t>
      </w:r>
      <w:r w:rsidR="003277B1" w:rsidRPr="00706FE0">
        <w:rPr>
          <w:rFonts w:ascii="Times New Roman" w:hAnsi="Times New Roman" w:cs="Times New Roman"/>
          <w:sz w:val="24"/>
          <w:szCs w:val="24"/>
        </w:rPr>
        <w:t xml:space="preserve"> were employed by The Pathology Partnership before it was dissolved at the end of April 2017.</w:t>
      </w:r>
    </w:p>
    <w:p w:rsidR="008B6DC0"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lastRenderedPageBreak/>
        <w:t xml:space="preserve">4. </w:t>
      </w:r>
      <w:r w:rsidRPr="00E050C9">
        <w:rPr>
          <w:rFonts w:ascii="Times New Roman" w:hAnsi="Times New Roman" w:cs="Times New Roman"/>
          <w:b/>
          <w:sz w:val="24"/>
          <w:szCs w:val="24"/>
        </w:rPr>
        <w:t>Cambridgeshire and Peterborough NHS Foundation Trust (CPFT)</w:t>
      </w:r>
      <w:r w:rsidRPr="00E050C9">
        <w:rPr>
          <w:rFonts w:ascii="Times New Roman" w:hAnsi="Times New Roman" w:cs="Times New Roman"/>
          <w:sz w:val="24"/>
          <w:szCs w:val="24"/>
        </w:rPr>
        <w:t xml:space="preserve">: </w:t>
      </w:r>
    </w:p>
    <w:p w:rsidR="00157F0B" w:rsidRPr="00E050C9" w:rsidRDefault="008B6DC0" w:rsidP="00B205E9">
      <w:pPr>
        <w:spacing w:line="360" w:lineRule="auto"/>
        <w:rPr>
          <w:rFonts w:ascii="Times New Roman" w:hAnsi="Times New Roman" w:cs="Times New Roman"/>
          <w:sz w:val="24"/>
          <w:szCs w:val="24"/>
        </w:rPr>
      </w:pPr>
      <w:r w:rsidRPr="00E050C9">
        <w:rPr>
          <w:rFonts w:ascii="Times New Roman" w:hAnsi="Times New Roman" w:cs="Times New Roman"/>
          <w:sz w:val="24"/>
          <w:szCs w:val="24"/>
        </w:rPr>
        <w:t xml:space="preserve">Peterborough units are excluded, and previous years (which covered only the </w:t>
      </w:r>
      <w:proofErr w:type="spellStart"/>
      <w:r w:rsidRPr="00E050C9">
        <w:rPr>
          <w:rFonts w:ascii="Times New Roman" w:hAnsi="Times New Roman" w:cs="Times New Roman"/>
          <w:sz w:val="24"/>
          <w:szCs w:val="24"/>
        </w:rPr>
        <w:t>Fulbourn</w:t>
      </w:r>
      <w:proofErr w:type="spellEnd"/>
      <w:r w:rsidRPr="00E050C9">
        <w:rPr>
          <w:rFonts w:ascii="Times New Roman" w:hAnsi="Times New Roman" w:cs="Times New Roman"/>
          <w:sz w:val="24"/>
          <w:szCs w:val="24"/>
        </w:rPr>
        <w:t xml:space="preserve"> site) have been amended to include Huntingdon and Fenland units. Note that in April 2015 CPFT absorbed parts of Cambridgeshire Community Services</w:t>
      </w:r>
      <w:r w:rsidR="008D5EFA">
        <w:rPr>
          <w:rFonts w:ascii="Times New Roman" w:hAnsi="Times New Roman" w:cs="Times New Roman"/>
          <w:sz w:val="24"/>
          <w:szCs w:val="24"/>
        </w:rPr>
        <w:t>.</w:t>
      </w:r>
    </w:p>
    <w:p w:rsidR="00157F0B" w:rsidRPr="00E050C9" w:rsidRDefault="008B6DC0" w:rsidP="00B205E9">
      <w:pPr>
        <w:spacing w:line="360" w:lineRule="auto"/>
        <w:rPr>
          <w:rFonts w:ascii="Times New Roman" w:eastAsia="Times New Roman" w:hAnsi="Times New Roman" w:cs="Times New Roman"/>
          <w:color w:val="000000"/>
          <w:sz w:val="24"/>
          <w:szCs w:val="24"/>
          <w:lang w:eastAsia="en-GB"/>
        </w:rPr>
      </w:pPr>
      <w:r w:rsidRPr="00E050C9">
        <w:rPr>
          <w:rFonts w:ascii="Times New Roman" w:hAnsi="Times New Roman" w:cs="Times New Roman"/>
          <w:sz w:val="24"/>
          <w:szCs w:val="24"/>
        </w:rPr>
        <w:t xml:space="preserve">5. </w:t>
      </w:r>
      <w:r w:rsidRPr="00E050C9">
        <w:rPr>
          <w:rFonts w:ascii="Times New Roman" w:eastAsia="Times New Roman" w:hAnsi="Times New Roman" w:cs="Times New Roman"/>
          <w:b/>
          <w:color w:val="000000"/>
          <w:sz w:val="24"/>
          <w:szCs w:val="24"/>
          <w:lang w:eastAsia="en-GB"/>
        </w:rPr>
        <w:t>EMBL- European Bioinformatics Institute</w:t>
      </w:r>
      <w:r w:rsidR="00157F0B" w:rsidRPr="00E050C9">
        <w:rPr>
          <w:rFonts w:ascii="Times New Roman" w:eastAsia="Times New Roman" w:hAnsi="Times New Roman" w:cs="Times New Roman"/>
          <w:b/>
          <w:color w:val="000000"/>
          <w:sz w:val="24"/>
          <w:szCs w:val="24"/>
          <w:lang w:eastAsia="en-GB"/>
        </w:rPr>
        <w:t>; and</w:t>
      </w:r>
      <w:r w:rsidRPr="00E050C9">
        <w:rPr>
          <w:rFonts w:ascii="Times New Roman" w:eastAsia="Times New Roman" w:hAnsi="Times New Roman" w:cs="Times New Roman"/>
          <w:b/>
          <w:color w:val="000000"/>
          <w:sz w:val="24"/>
          <w:szCs w:val="24"/>
          <w:lang w:eastAsia="en-GB"/>
        </w:rPr>
        <w:t xml:space="preserve"> the </w:t>
      </w:r>
      <w:proofErr w:type="spellStart"/>
      <w:r w:rsidRPr="00E050C9">
        <w:rPr>
          <w:rFonts w:ascii="Times New Roman" w:eastAsia="Times New Roman" w:hAnsi="Times New Roman" w:cs="Times New Roman"/>
          <w:b/>
          <w:color w:val="000000"/>
          <w:sz w:val="24"/>
          <w:szCs w:val="24"/>
          <w:lang w:eastAsia="en-GB"/>
        </w:rPr>
        <w:t>Wellcome</w:t>
      </w:r>
      <w:proofErr w:type="spellEnd"/>
      <w:r w:rsidRPr="00E050C9">
        <w:rPr>
          <w:rFonts w:ascii="Times New Roman" w:eastAsia="Times New Roman" w:hAnsi="Times New Roman" w:cs="Times New Roman"/>
          <w:b/>
          <w:color w:val="000000"/>
          <w:sz w:val="24"/>
          <w:szCs w:val="24"/>
          <w:lang w:eastAsia="en-GB"/>
        </w:rPr>
        <w:t xml:space="preserve"> Genome Campus</w:t>
      </w:r>
      <w:r w:rsidR="00157F0B" w:rsidRPr="00E050C9">
        <w:rPr>
          <w:rFonts w:ascii="Times New Roman" w:eastAsia="Times New Roman" w:hAnsi="Times New Roman" w:cs="Times New Roman"/>
          <w:color w:val="000000"/>
          <w:sz w:val="24"/>
          <w:szCs w:val="24"/>
          <w:lang w:eastAsia="en-GB"/>
        </w:rPr>
        <w:t>:</w:t>
      </w:r>
    </w:p>
    <w:p w:rsidR="008B6DC0" w:rsidRDefault="00157F0B" w:rsidP="00B205E9">
      <w:pPr>
        <w:spacing w:line="360" w:lineRule="auto"/>
        <w:rPr>
          <w:rFonts w:ascii="Times New Roman" w:eastAsia="Times New Roman" w:hAnsi="Times New Roman" w:cs="Times New Roman"/>
          <w:color w:val="000000"/>
          <w:sz w:val="24"/>
          <w:szCs w:val="24"/>
          <w:lang w:eastAsia="en-GB"/>
        </w:rPr>
      </w:pPr>
      <w:r w:rsidRPr="00E050C9">
        <w:rPr>
          <w:rFonts w:ascii="Times New Roman" w:eastAsia="Times New Roman" w:hAnsi="Times New Roman" w:cs="Times New Roman"/>
          <w:color w:val="000000"/>
          <w:sz w:val="24"/>
          <w:szCs w:val="24"/>
          <w:lang w:eastAsia="en-GB"/>
        </w:rPr>
        <w:t>We are grateful to these organisations for the data provided and the clarifications of their relationship to the companies at that site on the Cluster map</w:t>
      </w:r>
      <w:r w:rsidR="008B6DC0" w:rsidRPr="00E050C9">
        <w:rPr>
          <w:rFonts w:ascii="Times New Roman" w:eastAsia="Times New Roman" w:hAnsi="Times New Roman" w:cs="Times New Roman"/>
          <w:color w:val="000000"/>
          <w:sz w:val="24"/>
          <w:szCs w:val="24"/>
          <w:lang w:eastAsia="en-GB"/>
        </w:rPr>
        <w:t>.</w:t>
      </w:r>
    </w:p>
    <w:p w:rsidR="00E74537" w:rsidRPr="00706FE0" w:rsidRDefault="00E74537" w:rsidP="00B205E9">
      <w:pPr>
        <w:spacing w:line="360" w:lineRule="auto"/>
        <w:rPr>
          <w:rFonts w:ascii="Times New Roman" w:eastAsia="Times New Roman" w:hAnsi="Times New Roman" w:cs="Times New Roman"/>
          <w:sz w:val="24"/>
          <w:szCs w:val="24"/>
          <w:lang w:eastAsia="en-GB"/>
        </w:rPr>
      </w:pPr>
      <w:r w:rsidRPr="00706FE0">
        <w:rPr>
          <w:rFonts w:ascii="Times New Roman" w:eastAsia="Times New Roman" w:hAnsi="Times New Roman" w:cs="Times New Roman"/>
          <w:sz w:val="24"/>
          <w:szCs w:val="24"/>
          <w:lang w:eastAsia="en-GB"/>
        </w:rPr>
        <w:t xml:space="preserve">Figures for the </w:t>
      </w:r>
      <w:proofErr w:type="spellStart"/>
      <w:r w:rsidRPr="00706FE0">
        <w:rPr>
          <w:rFonts w:ascii="Times New Roman" w:eastAsia="Times New Roman" w:hAnsi="Times New Roman" w:cs="Times New Roman"/>
          <w:sz w:val="24"/>
          <w:szCs w:val="24"/>
          <w:lang w:eastAsia="en-GB"/>
        </w:rPr>
        <w:t>Wellcome</w:t>
      </w:r>
      <w:proofErr w:type="spellEnd"/>
      <w:r w:rsidRPr="00706FE0">
        <w:rPr>
          <w:rFonts w:ascii="Times New Roman" w:eastAsia="Times New Roman" w:hAnsi="Times New Roman" w:cs="Times New Roman"/>
          <w:sz w:val="24"/>
          <w:szCs w:val="24"/>
          <w:lang w:eastAsia="en-GB"/>
        </w:rPr>
        <w:t xml:space="preserve"> Trust Sanger Institute include staff working on the Connecting Science programme.</w:t>
      </w:r>
    </w:p>
    <w:p w:rsidR="008B6DC0" w:rsidRPr="00706FE0" w:rsidRDefault="008B6DC0" w:rsidP="00B205E9">
      <w:pPr>
        <w:spacing w:line="360" w:lineRule="auto"/>
        <w:rPr>
          <w:rFonts w:ascii="Times New Roman" w:eastAsia="Times New Roman" w:hAnsi="Times New Roman" w:cs="Times New Roman"/>
          <w:sz w:val="24"/>
          <w:szCs w:val="24"/>
          <w:lang w:eastAsia="en-GB"/>
        </w:rPr>
      </w:pPr>
      <w:r w:rsidRPr="00706FE0">
        <w:rPr>
          <w:rFonts w:ascii="Times New Roman" w:eastAsia="Times New Roman" w:hAnsi="Times New Roman" w:cs="Times New Roman"/>
          <w:sz w:val="24"/>
          <w:szCs w:val="24"/>
          <w:lang w:eastAsia="en-GB"/>
        </w:rPr>
        <w:t xml:space="preserve">6. </w:t>
      </w:r>
      <w:r w:rsidRPr="00706FE0">
        <w:rPr>
          <w:rFonts w:ascii="Times New Roman" w:eastAsia="Times New Roman" w:hAnsi="Times New Roman" w:cs="Times New Roman"/>
          <w:b/>
          <w:sz w:val="24"/>
          <w:szCs w:val="24"/>
          <w:lang w:eastAsia="en-GB"/>
        </w:rPr>
        <w:t>MRC</w:t>
      </w:r>
      <w:r w:rsidRPr="00706FE0">
        <w:rPr>
          <w:rFonts w:ascii="Times New Roman" w:eastAsia="Times New Roman" w:hAnsi="Times New Roman" w:cs="Times New Roman"/>
          <w:sz w:val="24"/>
          <w:szCs w:val="24"/>
          <w:lang w:eastAsia="en-GB"/>
        </w:rPr>
        <w:t>: the data for all five MRC units around Cambridge are provided by the central unit</w:t>
      </w:r>
      <w:r w:rsidR="008D5EFA" w:rsidRPr="00706FE0">
        <w:rPr>
          <w:rFonts w:ascii="Times New Roman" w:eastAsia="Times New Roman" w:hAnsi="Times New Roman" w:cs="Times New Roman"/>
          <w:sz w:val="24"/>
          <w:szCs w:val="24"/>
          <w:lang w:eastAsia="en-GB"/>
        </w:rPr>
        <w:t xml:space="preserve"> until 2015/16, while data for 2016/17 is sourced as follows:</w:t>
      </w:r>
    </w:p>
    <w:p w:rsidR="008D5EFA" w:rsidRPr="00706FE0" w:rsidRDefault="008D5EFA" w:rsidP="00E74537">
      <w:pPr>
        <w:pStyle w:val="ListParagraph"/>
        <w:numPr>
          <w:ilvl w:val="0"/>
          <w:numId w:val="1"/>
        </w:numPr>
        <w:spacing w:after="0" w:line="360" w:lineRule="auto"/>
        <w:rPr>
          <w:rFonts w:ascii="Times New Roman" w:hAnsi="Times New Roman" w:cs="Times New Roman"/>
          <w:sz w:val="24"/>
          <w:szCs w:val="24"/>
        </w:rPr>
      </w:pPr>
      <w:r w:rsidRPr="00706FE0">
        <w:rPr>
          <w:rFonts w:ascii="Times New Roman" w:hAnsi="Times New Roman" w:cs="Times New Roman"/>
          <w:sz w:val="24"/>
          <w:szCs w:val="24"/>
        </w:rPr>
        <w:t xml:space="preserve">MRC Laboratory of Molecular Biology and MRC Elsie </w:t>
      </w:r>
      <w:proofErr w:type="spellStart"/>
      <w:r w:rsidRPr="00706FE0">
        <w:rPr>
          <w:rFonts w:ascii="Times New Roman" w:hAnsi="Times New Roman" w:cs="Times New Roman"/>
          <w:sz w:val="24"/>
          <w:szCs w:val="24"/>
        </w:rPr>
        <w:t>Widdowson</w:t>
      </w:r>
      <w:proofErr w:type="spellEnd"/>
      <w:r w:rsidRPr="00706FE0">
        <w:rPr>
          <w:rFonts w:ascii="Times New Roman" w:hAnsi="Times New Roman" w:cs="Times New Roman"/>
          <w:sz w:val="24"/>
          <w:szCs w:val="24"/>
        </w:rPr>
        <w:t xml:space="preserve"> Laboratory: MRC central unit</w:t>
      </w:r>
      <w:r w:rsidR="00E74537" w:rsidRPr="00706FE0">
        <w:rPr>
          <w:rFonts w:ascii="Times New Roman" w:hAnsi="Times New Roman" w:cs="Times New Roman"/>
          <w:sz w:val="24"/>
          <w:szCs w:val="24"/>
        </w:rPr>
        <w:t>.</w:t>
      </w:r>
    </w:p>
    <w:p w:rsidR="008D5EFA" w:rsidRPr="00706FE0" w:rsidRDefault="008D5EFA" w:rsidP="00E74537">
      <w:pPr>
        <w:pStyle w:val="ListParagraph"/>
        <w:numPr>
          <w:ilvl w:val="0"/>
          <w:numId w:val="1"/>
        </w:numPr>
        <w:spacing w:line="360" w:lineRule="auto"/>
        <w:rPr>
          <w:rFonts w:ascii="Times New Roman" w:hAnsi="Times New Roman" w:cs="Times New Roman"/>
          <w:sz w:val="24"/>
          <w:szCs w:val="24"/>
        </w:rPr>
      </w:pPr>
      <w:r w:rsidRPr="00706FE0">
        <w:rPr>
          <w:rFonts w:ascii="Times New Roman" w:hAnsi="Times New Roman" w:cs="Times New Roman"/>
          <w:sz w:val="24"/>
          <w:szCs w:val="24"/>
        </w:rPr>
        <w:t>MRC Mitochondrial Biology Unit, MRC Cognition and Brain Sciences Unit, and MRC Biostatistics Unit: University of Cambridge</w:t>
      </w:r>
      <w:r w:rsidR="00E74537" w:rsidRPr="00706FE0">
        <w:rPr>
          <w:rFonts w:ascii="Times New Roman" w:hAnsi="Times New Roman" w:cs="Times New Roman"/>
          <w:sz w:val="24"/>
          <w:szCs w:val="24"/>
        </w:rPr>
        <w:t>.</w:t>
      </w:r>
    </w:p>
    <w:p w:rsidR="00E74537" w:rsidRPr="00706FE0" w:rsidRDefault="00E74537" w:rsidP="00E74537">
      <w:pPr>
        <w:spacing w:line="360" w:lineRule="auto"/>
        <w:rPr>
          <w:rFonts w:ascii="Times New Roman" w:hAnsi="Times New Roman" w:cs="Times New Roman"/>
          <w:sz w:val="24"/>
          <w:szCs w:val="24"/>
        </w:rPr>
      </w:pPr>
      <w:r w:rsidRPr="00706FE0">
        <w:rPr>
          <w:rFonts w:ascii="Times New Roman" w:hAnsi="Times New Roman" w:cs="Times New Roman"/>
          <w:sz w:val="24"/>
          <w:szCs w:val="24"/>
        </w:rPr>
        <w:t>Figures for the three MRC units that became part of the University of Cambridge in 2016/17 are reported separately on the Cluster Map and are excluded from the University headcount.</w:t>
      </w:r>
    </w:p>
    <w:p w:rsidR="008B6DC0" w:rsidRPr="00B205E9" w:rsidRDefault="008B6DC0" w:rsidP="00B205E9">
      <w:pPr>
        <w:spacing w:line="360" w:lineRule="auto"/>
        <w:rPr>
          <w:rFonts w:ascii="Times New Roman" w:hAnsi="Times New Roman" w:cs="Times New Roman"/>
          <w:sz w:val="24"/>
          <w:szCs w:val="24"/>
        </w:rPr>
      </w:pPr>
    </w:p>
    <w:p w:rsidR="008B6DC0" w:rsidRPr="00B205E9" w:rsidRDefault="008B6DC0" w:rsidP="00B205E9">
      <w:pPr>
        <w:spacing w:line="360" w:lineRule="auto"/>
        <w:rPr>
          <w:rFonts w:ascii="Times New Roman" w:hAnsi="Times New Roman" w:cs="Times New Roman"/>
          <w:sz w:val="24"/>
          <w:szCs w:val="24"/>
        </w:rPr>
        <w:sectPr w:rsidR="008B6DC0" w:rsidRPr="00B205E9" w:rsidSect="005C36A9">
          <w:pgSz w:w="11906" w:h="16838"/>
          <w:pgMar w:top="1440" w:right="1440" w:bottom="1440" w:left="1440" w:header="708" w:footer="708" w:gutter="0"/>
          <w:cols w:space="708"/>
          <w:docGrid w:linePitch="360"/>
        </w:sectPr>
      </w:pPr>
    </w:p>
    <w:p w:rsidR="008B6DC0" w:rsidRPr="00B205E9" w:rsidRDefault="00157F0B" w:rsidP="00B205E9">
      <w:pPr>
        <w:rPr>
          <w:rFonts w:ascii="Times New Roman" w:eastAsia="Times New Roman" w:hAnsi="Times New Roman" w:cs="Times New Roman"/>
          <w:b/>
          <w:color w:val="000000"/>
          <w:sz w:val="24"/>
          <w:szCs w:val="24"/>
          <w:lang w:eastAsia="en-GB"/>
        </w:rPr>
      </w:pPr>
      <w:r w:rsidRPr="00B205E9">
        <w:rPr>
          <w:rFonts w:ascii="Times New Roman" w:eastAsia="Times New Roman" w:hAnsi="Times New Roman" w:cs="Times New Roman"/>
          <w:b/>
          <w:color w:val="000000"/>
          <w:sz w:val="24"/>
          <w:szCs w:val="24"/>
          <w:lang w:eastAsia="en-GB"/>
        </w:rPr>
        <w:lastRenderedPageBreak/>
        <w:t>Organisations included:</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3"/>
      </w:tblGrid>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 xml:space="preserve">British </w:t>
            </w:r>
            <w:proofErr w:type="spellStart"/>
            <w:r w:rsidRPr="00B205E9">
              <w:rPr>
                <w:rFonts w:ascii="Times New Roman" w:eastAsia="Times New Roman" w:hAnsi="Times New Roman" w:cs="Times New Roman"/>
                <w:color w:val="000000"/>
                <w:sz w:val="24"/>
                <w:szCs w:val="24"/>
                <w:lang w:eastAsia="en-GB"/>
              </w:rPr>
              <w:t>Antartic</w:t>
            </w:r>
            <w:proofErr w:type="spellEnd"/>
            <w:r w:rsidRPr="00B205E9">
              <w:rPr>
                <w:rFonts w:ascii="Times New Roman" w:eastAsia="Times New Roman" w:hAnsi="Times New Roman" w:cs="Times New Roman"/>
                <w:color w:val="000000"/>
                <w:sz w:val="24"/>
                <w:szCs w:val="24"/>
                <w:lang w:eastAsia="en-GB"/>
              </w:rPr>
              <w:t xml:space="preserve"> Survey</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EMBL- European Bioinformatics Institute</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MRC Mitochondrial Biology Unit</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MRC Laboratory of Molecular Biology</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011A7A" w:rsidP="00B205E9">
            <w:pPr>
              <w:spacing w:after="0"/>
              <w:rPr>
                <w:rFonts w:ascii="Times New Roman" w:eastAsia="Times New Roman" w:hAnsi="Times New Roman" w:cs="Times New Roman"/>
                <w:color w:val="000000"/>
                <w:sz w:val="24"/>
                <w:szCs w:val="24"/>
                <w:lang w:eastAsia="en-GB"/>
              </w:rPr>
            </w:pPr>
            <w:r w:rsidRPr="00706FE0">
              <w:rPr>
                <w:rFonts w:ascii="Times New Roman" w:eastAsia="Times New Roman" w:hAnsi="Times New Roman" w:cs="Times New Roman"/>
                <w:sz w:val="24"/>
                <w:szCs w:val="24"/>
                <w:lang w:eastAsia="en-GB"/>
              </w:rPr>
              <w:t xml:space="preserve">MRC Elsie </w:t>
            </w:r>
            <w:proofErr w:type="spellStart"/>
            <w:r w:rsidRPr="00706FE0">
              <w:rPr>
                <w:rFonts w:ascii="Times New Roman" w:eastAsia="Times New Roman" w:hAnsi="Times New Roman" w:cs="Times New Roman"/>
                <w:sz w:val="24"/>
                <w:szCs w:val="24"/>
                <w:lang w:eastAsia="en-GB"/>
              </w:rPr>
              <w:t>Widdowson</w:t>
            </w:r>
            <w:proofErr w:type="spellEnd"/>
            <w:r w:rsidRPr="00706FE0">
              <w:rPr>
                <w:rFonts w:ascii="Times New Roman" w:eastAsia="Times New Roman" w:hAnsi="Times New Roman" w:cs="Times New Roman"/>
                <w:sz w:val="24"/>
                <w:szCs w:val="24"/>
                <w:lang w:eastAsia="en-GB"/>
              </w:rPr>
              <w:t xml:space="preserve"> Laboratory</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MRC Cognition and Brain Sciences Unit</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MRC Biostatistics Unit</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PHG Foundation (Population Health</w:t>
            </w:r>
            <w:r w:rsidR="00011A7A">
              <w:rPr>
                <w:rFonts w:ascii="Times New Roman" w:eastAsia="Times New Roman" w:hAnsi="Times New Roman" w:cs="Times New Roman"/>
                <w:color w:val="000000"/>
                <w:sz w:val="24"/>
                <w:szCs w:val="24"/>
                <w:lang w:eastAsia="en-GB"/>
              </w:rPr>
              <w:t xml:space="preserve"> </w:t>
            </w:r>
            <w:r w:rsidRPr="00B205E9">
              <w:rPr>
                <w:rFonts w:ascii="Times New Roman" w:eastAsia="Times New Roman" w:hAnsi="Times New Roman" w:cs="Times New Roman"/>
                <w:color w:val="000000"/>
                <w:sz w:val="24"/>
                <w:szCs w:val="24"/>
                <w:lang w:eastAsia="en-GB"/>
              </w:rPr>
              <w:t>&amp; Genomics Foundation)</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Public Health England</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Public Library of Science (European Editorial Office)</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British Society of Plant Breeders</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Royal Society of Chemistry</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proofErr w:type="spellStart"/>
            <w:r w:rsidRPr="00B205E9">
              <w:rPr>
                <w:rFonts w:ascii="Times New Roman" w:eastAsia="Times New Roman" w:hAnsi="Times New Roman" w:cs="Times New Roman"/>
                <w:color w:val="000000"/>
                <w:sz w:val="24"/>
                <w:szCs w:val="24"/>
                <w:lang w:eastAsia="en-GB"/>
              </w:rPr>
              <w:t>Wellcome</w:t>
            </w:r>
            <w:proofErr w:type="spellEnd"/>
            <w:r w:rsidRPr="00B205E9">
              <w:rPr>
                <w:rFonts w:ascii="Times New Roman" w:eastAsia="Times New Roman" w:hAnsi="Times New Roman" w:cs="Times New Roman"/>
                <w:color w:val="000000"/>
                <w:sz w:val="24"/>
                <w:szCs w:val="24"/>
                <w:lang w:eastAsia="en-GB"/>
              </w:rPr>
              <w:t xml:space="preserve"> Trust Sanger Institute</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CASP</w:t>
            </w:r>
            <w:r w:rsidR="00011A7A">
              <w:rPr>
                <w:rFonts w:ascii="Times New Roman" w:eastAsia="Times New Roman" w:hAnsi="Times New Roman" w:cs="Times New Roman"/>
                <w:color w:val="000000"/>
                <w:sz w:val="24"/>
                <w:szCs w:val="24"/>
                <w:lang w:eastAsia="en-GB"/>
              </w:rPr>
              <w:t xml:space="preserve"> </w:t>
            </w:r>
            <w:r w:rsidRPr="00B205E9">
              <w:rPr>
                <w:rFonts w:ascii="Times New Roman" w:eastAsia="Times New Roman" w:hAnsi="Times New Roman" w:cs="Times New Roman"/>
                <w:color w:val="000000"/>
                <w:sz w:val="24"/>
                <w:szCs w:val="24"/>
                <w:lang w:eastAsia="en-GB"/>
              </w:rPr>
              <w:t>- Cambridge Arctic Shelf Programme</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Hitachi Cambridge Laboratory</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 xml:space="preserve">UN Environmental Programme-World Conservation </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Cambridge University</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Cambridge University research students</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 xml:space="preserve">Cambridge Colleges </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Needham Research Institute</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Gates Cambridge Trust</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ind w:right="-15"/>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Cambridge Commonwealth, European and International Trust</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 xml:space="preserve">Cambridge University Press </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 xml:space="preserve">Cambridge Assessment (UCLES) </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Anglia Ruskin University - Cambridge Campus</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Anglia Ruskin University - Cambridge Campus research students</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A62F6D" w:rsidRPr="00B205E9" w:rsidRDefault="00157F0B" w:rsidP="00B205E9">
            <w:pPr>
              <w:spacing w:after="0"/>
              <w:rPr>
                <w:rFonts w:ascii="Times New Roman" w:eastAsia="Times New Roman" w:hAnsi="Times New Roman" w:cs="Times New Roman"/>
                <w:color w:val="000000"/>
                <w:sz w:val="24"/>
                <w:szCs w:val="24"/>
                <w:lang w:eastAsia="en-GB"/>
              </w:rPr>
            </w:pPr>
            <w:r w:rsidRPr="00706FE0">
              <w:rPr>
                <w:rFonts w:ascii="Times New Roman" w:eastAsia="Times New Roman" w:hAnsi="Times New Roman" w:cs="Times New Roman"/>
                <w:color w:val="000000"/>
                <w:sz w:val="24"/>
                <w:szCs w:val="24"/>
                <w:lang w:eastAsia="en-GB"/>
              </w:rPr>
              <w:t>The Pathology Partnership</w:t>
            </w:r>
            <w:r w:rsidR="00A62F6D" w:rsidRPr="00706FE0">
              <w:rPr>
                <w:rFonts w:ascii="Times New Roman" w:eastAsia="Times New Roman" w:hAnsi="Times New Roman" w:cs="Times New Roman"/>
                <w:color w:val="000000"/>
                <w:sz w:val="24"/>
                <w:szCs w:val="24"/>
                <w:lang w:eastAsia="en-GB"/>
              </w:rPr>
              <w:t xml:space="preserve"> (until 2016)</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011A7A">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Cambridge University Hospitals (</w:t>
            </w:r>
            <w:proofErr w:type="spellStart"/>
            <w:r w:rsidRPr="00B205E9">
              <w:rPr>
                <w:rFonts w:ascii="Times New Roman" w:eastAsia="Times New Roman" w:hAnsi="Times New Roman" w:cs="Times New Roman"/>
                <w:color w:val="000000"/>
                <w:sz w:val="24"/>
                <w:szCs w:val="24"/>
                <w:lang w:eastAsia="en-GB"/>
              </w:rPr>
              <w:t>Addenbrooke</w:t>
            </w:r>
            <w:r w:rsidR="00011A7A">
              <w:rPr>
                <w:rFonts w:ascii="Times New Roman" w:eastAsia="Times New Roman" w:hAnsi="Times New Roman" w:cs="Times New Roman"/>
                <w:color w:val="000000"/>
                <w:sz w:val="24"/>
                <w:szCs w:val="24"/>
                <w:lang w:eastAsia="en-GB"/>
              </w:rPr>
              <w:t>’</w:t>
            </w:r>
            <w:r w:rsidRPr="00B205E9">
              <w:rPr>
                <w:rFonts w:ascii="Times New Roman" w:eastAsia="Times New Roman" w:hAnsi="Times New Roman" w:cs="Times New Roman"/>
                <w:color w:val="000000"/>
                <w:sz w:val="24"/>
                <w:szCs w:val="24"/>
                <w:lang w:eastAsia="en-GB"/>
              </w:rPr>
              <w:t>s</w:t>
            </w:r>
            <w:proofErr w:type="spellEnd"/>
            <w:r w:rsidRPr="00B205E9">
              <w:rPr>
                <w:rFonts w:ascii="Times New Roman" w:eastAsia="Times New Roman" w:hAnsi="Times New Roman" w:cs="Times New Roman"/>
                <w:color w:val="000000"/>
                <w:sz w:val="24"/>
                <w:szCs w:val="24"/>
                <w:lang w:eastAsia="en-GB"/>
              </w:rPr>
              <w:t>)</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Cambridge and Peterborough NHS Foundation Trust</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t>Papworth Hospital</w:t>
            </w:r>
          </w:p>
        </w:tc>
      </w:tr>
      <w:tr w:rsidR="00157F0B" w:rsidRPr="00B205E9" w:rsidTr="00157F0B">
        <w:trPr>
          <w:trHeight w:val="300"/>
        </w:trPr>
        <w:tc>
          <w:tcPr>
            <w:tcW w:w="9653" w:type="dxa"/>
            <w:tcBorders>
              <w:top w:val="nil"/>
              <w:left w:val="nil"/>
              <w:bottom w:val="nil"/>
              <w:right w:val="nil"/>
            </w:tcBorders>
            <w:shd w:val="clear" w:color="auto" w:fill="auto"/>
            <w:noWrap/>
            <w:vAlign w:val="bottom"/>
            <w:hideMark/>
          </w:tcPr>
          <w:p w:rsidR="00157F0B" w:rsidRPr="00B205E9" w:rsidRDefault="00157F0B" w:rsidP="00B205E9">
            <w:pPr>
              <w:spacing w:after="0"/>
              <w:rPr>
                <w:rFonts w:ascii="Times New Roman" w:eastAsia="Times New Roman" w:hAnsi="Times New Roman" w:cs="Times New Roman"/>
                <w:color w:val="000000"/>
                <w:sz w:val="24"/>
                <w:szCs w:val="24"/>
                <w:lang w:eastAsia="en-GB"/>
              </w:rPr>
            </w:pPr>
            <w:proofErr w:type="spellStart"/>
            <w:r w:rsidRPr="00B205E9">
              <w:rPr>
                <w:rFonts w:ascii="Times New Roman" w:eastAsia="Times New Roman" w:hAnsi="Times New Roman" w:cs="Times New Roman"/>
                <w:color w:val="000000"/>
                <w:sz w:val="24"/>
                <w:szCs w:val="24"/>
                <w:lang w:eastAsia="en-GB"/>
              </w:rPr>
              <w:t>Hinchingbrooke</w:t>
            </w:r>
            <w:proofErr w:type="spellEnd"/>
            <w:r w:rsidRPr="00B205E9">
              <w:rPr>
                <w:rFonts w:ascii="Times New Roman" w:eastAsia="Times New Roman" w:hAnsi="Times New Roman" w:cs="Times New Roman"/>
                <w:color w:val="000000"/>
                <w:sz w:val="24"/>
                <w:szCs w:val="24"/>
                <w:lang w:eastAsia="en-GB"/>
              </w:rPr>
              <w:t xml:space="preserve"> Hospital</w:t>
            </w:r>
          </w:p>
        </w:tc>
      </w:tr>
    </w:tbl>
    <w:p w:rsidR="008B6DC0" w:rsidRPr="00B205E9" w:rsidRDefault="008B6DC0" w:rsidP="00B205E9">
      <w:pPr>
        <w:rPr>
          <w:rFonts w:ascii="Times New Roman" w:eastAsia="Times New Roman" w:hAnsi="Times New Roman" w:cs="Times New Roman"/>
          <w:color w:val="000000"/>
          <w:sz w:val="24"/>
          <w:szCs w:val="24"/>
          <w:lang w:eastAsia="en-GB"/>
        </w:rPr>
      </w:pPr>
    </w:p>
    <w:p w:rsidR="001B4762" w:rsidRPr="00B205E9" w:rsidRDefault="001B4762">
      <w:pPr>
        <w:rPr>
          <w:rFonts w:ascii="Times New Roman" w:eastAsia="Times New Roman" w:hAnsi="Times New Roman" w:cs="Times New Roman"/>
          <w:color w:val="000000"/>
          <w:sz w:val="24"/>
          <w:szCs w:val="24"/>
          <w:lang w:eastAsia="en-GB"/>
        </w:rPr>
      </w:pPr>
      <w:r w:rsidRPr="00B205E9">
        <w:rPr>
          <w:rFonts w:ascii="Times New Roman" w:eastAsia="Times New Roman" w:hAnsi="Times New Roman" w:cs="Times New Roman"/>
          <w:color w:val="000000"/>
          <w:sz w:val="24"/>
          <w:szCs w:val="24"/>
          <w:lang w:eastAsia="en-GB"/>
        </w:rPr>
        <w:br w:type="page"/>
      </w:r>
    </w:p>
    <w:p w:rsidR="001B4762" w:rsidRPr="00072C15" w:rsidRDefault="001B4762" w:rsidP="00072C15">
      <w:pPr>
        <w:rPr>
          <w:rFonts w:ascii="Times New Roman" w:hAnsi="Times New Roman" w:cs="Times New Roman"/>
          <w:b/>
          <w:sz w:val="28"/>
          <w:szCs w:val="28"/>
        </w:rPr>
      </w:pPr>
      <w:r w:rsidRPr="00072C15">
        <w:rPr>
          <w:rFonts w:ascii="Times New Roman" w:hAnsi="Times New Roman" w:cs="Times New Roman"/>
          <w:b/>
          <w:sz w:val="28"/>
          <w:szCs w:val="28"/>
        </w:rPr>
        <w:lastRenderedPageBreak/>
        <w:t xml:space="preserve">Annex 2 </w:t>
      </w:r>
      <w:r w:rsidRPr="00072C15">
        <w:rPr>
          <w:rFonts w:ascii="Times New Roman" w:hAnsi="Times New Roman" w:cs="Times New Roman"/>
          <w:b/>
          <w:sz w:val="28"/>
          <w:szCs w:val="28"/>
        </w:rPr>
        <w:tab/>
        <w:t>Methodology update for 20</w:t>
      </w:r>
      <w:r w:rsidR="008C4464" w:rsidRPr="00072C15">
        <w:rPr>
          <w:rFonts w:ascii="Times New Roman" w:hAnsi="Times New Roman" w:cs="Times New Roman"/>
          <w:b/>
          <w:sz w:val="28"/>
          <w:szCs w:val="28"/>
        </w:rPr>
        <w:t>16</w:t>
      </w:r>
      <w:r w:rsidRPr="00072C15">
        <w:rPr>
          <w:rFonts w:ascii="Times New Roman" w:hAnsi="Times New Roman" w:cs="Times New Roman"/>
          <w:b/>
          <w:sz w:val="28"/>
          <w:szCs w:val="28"/>
        </w:rPr>
        <w:t>/1</w:t>
      </w:r>
      <w:r w:rsidR="008C4464" w:rsidRPr="00072C15">
        <w:rPr>
          <w:rFonts w:ascii="Times New Roman" w:hAnsi="Times New Roman" w:cs="Times New Roman"/>
          <w:b/>
          <w:sz w:val="28"/>
          <w:szCs w:val="28"/>
        </w:rPr>
        <w:t>7</w:t>
      </w:r>
      <w:r w:rsidRPr="00072C15">
        <w:rPr>
          <w:rFonts w:ascii="Times New Roman" w:hAnsi="Times New Roman" w:cs="Times New Roman"/>
          <w:b/>
          <w:sz w:val="28"/>
          <w:szCs w:val="28"/>
        </w:rPr>
        <w:t xml:space="preserve"> draw</w:t>
      </w:r>
    </w:p>
    <w:p w:rsidR="001B4762" w:rsidRPr="00072C15" w:rsidRDefault="001B4762" w:rsidP="0007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072C15">
        <w:rPr>
          <w:rFonts w:ascii="Times New Roman" w:hAnsi="Times New Roman" w:cs="Times New Roman"/>
          <w:sz w:val="24"/>
          <w:szCs w:val="24"/>
        </w:rPr>
        <w:t>The database was first formed in 2015 and included any companies in the CA area that were alive in any year from 2010/11 to 2014/15.</w:t>
      </w:r>
      <w:r w:rsidR="002E1A27" w:rsidRPr="00072C15">
        <w:rPr>
          <w:rFonts w:ascii="Times New Roman" w:hAnsi="Times New Roman" w:cs="Times New Roman"/>
          <w:sz w:val="24"/>
          <w:szCs w:val="24"/>
        </w:rPr>
        <w:t xml:space="preserve"> We have tracked births and deaths of this population over this period, but the Cluster Map shows only those alive at the end of the latest time period.</w:t>
      </w:r>
    </w:p>
    <w:p w:rsidR="002E1A27" w:rsidRPr="00072C15" w:rsidRDefault="001B4762" w:rsidP="0007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072C15">
        <w:rPr>
          <w:rFonts w:ascii="Times New Roman" w:hAnsi="Times New Roman" w:cs="Times New Roman"/>
          <w:sz w:val="24"/>
          <w:szCs w:val="24"/>
        </w:rPr>
        <w:t xml:space="preserve">The updating </w:t>
      </w:r>
      <w:r w:rsidR="008C4464" w:rsidRPr="00072C15">
        <w:rPr>
          <w:rFonts w:ascii="Times New Roman" w:hAnsi="Times New Roman" w:cs="Times New Roman"/>
          <w:sz w:val="24"/>
          <w:szCs w:val="24"/>
        </w:rPr>
        <w:t>since then</w:t>
      </w:r>
      <w:r w:rsidR="002E1A27" w:rsidRPr="00072C15">
        <w:rPr>
          <w:rFonts w:ascii="Times New Roman" w:hAnsi="Times New Roman" w:cs="Times New Roman"/>
          <w:sz w:val="24"/>
          <w:szCs w:val="24"/>
        </w:rPr>
        <w:t xml:space="preserve"> </w:t>
      </w:r>
      <w:r w:rsidRPr="00072C15">
        <w:rPr>
          <w:rFonts w:ascii="Times New Roman" w:hAnsi="Times New Roman" w:cs="Times New Roman"/>
          <w:sz w:val="24"/>
          <w:szCs w:val="24"/>
        </w:rPr>
        <w:t>introduce</w:t>
      </w:r>
      <w:r w:rsidR="008C4464" w:rsidRPr="00072C15">
        <w:rPr>
          <w:rFonts w:ascii="Times New Roman" w:hAnsi="Times New Roman" w:cs="Times New Roman"/>
          <w:sz w:val="24"/>
          <w:szCs w:val="24"/>
        </w:rPr>
        <w:t>d</w:t>
      </w:r>
      <w:r w:rsidRPr="00072C15">
        <w:rPr>
          <w:rFonts w:ascii="Times New Roman" w:hAnsi="Times New Roman" w:cs="Times New Roman"/>
          <w:sz w:val="24"/>
          <w:szCs w:val="24"/>
        </w:rPr>
        <w:t xml:space="preserve"> some new elements. First, there are those that moved into the area in the last year and those t</w:t>
      </w:r>
      <w:r w:rsidR="002E1A27" w:rsidRPr="00072C15">
        <w:rPr>
          <w:rFonts w:ascii="Times New Roman" w:hAnsi="Times New Roman" w:cs="Times New Roman"/>
          <w:sz w:val="24"/>
          <w:szCs w:val="24"/>
        </w:rPr>
        <w:t>h</w:t>
      </w:r>
      <w:r w:rsidRPr="00072C15">
        <w:rPr>
          <w:rFonts w:ascii="Times New Roman" w:hAnsi="Times New Roman" w:cs="Times New Roman"/>
          <w:sz w:val="24"/>
          <w:szCs w:val="24"/>
        </w:rPr>
        <w:t xml:space="preserve">at moved out. </w:t>
      </w:r>
      <w:r w:rsidR="002E1A27" w:rsidRPr="00072C15">
        <w:rPr>
          <w:rFonts w:ascii="Times New Roman" w:hAnsi="Times New Roman" w:cs="Times New Roman"/>
          <w:sz w:val="24"/>
          <w:szCs w:val="24"/>
        </w:rPr>
        <w:t xml:space="preserve">The companies that have moved out are removed from the Cluster Map and their data for previous years is not shown. Companies that have moved into the area are now included, along with their data for any </w:t>
      </w:r>
      <w:r w:rsidR="00014193" w:rsidRPr="00072C15">
        <w:rPr>
          <w:rFonts w:ascii="Times New Roman" w:hAnsi="Times New Roman" w:cs="Times New Roman"/>
          <w:sz w:val="24"/>
          <w:szCs w:val="24"/>
        </w:rPr>
        <w:t>y</w:t>
      </w:r>
      <w:r w:rsidR="002E1A27" w:rsidRPr="00072C15">
        <w:rPr>
          <w:rFonts w:ascii="Times New Roman" w:hAnsi="Times New Roman" w:cs="Times New Roman"/>
          <w:sz w:val="24"/>
          <w:szCs w:val="24"/>
        </w:rPr>
        <w:t>ears during the last s</w:t>
      </w:r>
      <w:r w:rsidR="00014193" w:rsidRPr="00072C15">
        <w:rPr>
          <w:rFonts w:ascii="Times New Roman" w:hAnsi="Times New Roman" w:cs="Times New Roman"/>
          <w:sz w:val="24"/>
          <w:szCs w:val="24"/>
        </w:rPr>
        <w:t>even</w:t>
      </w:r>
      <w:r w:rsidR="002E1A27" w:rsidRPr="00072C15">
        <w:rPr>
          <w:rFonts w:ascii="Times New Roman" w:hAnsi="Times New Roman" w:cs="Times New Roman"/>
          <w:sz w:val="24"/>
          <w:szCs w:val="24"/>
        </w:rPr>
        <w:t xml:space="preserve"> that they were alive. This methodology provides a vibrant picture of the performance of companies that currently exist in the area over the past s</w:t>
      </w:r>
      <w:r w:rsidR="00014193" w:rsidRPr="00072C15">
        <w:rPr>
          <w:rFonts w:ascii="Times New Roman" w:hAnsi="Times New Roman" w:cs="Times New Roman"/>
          <w:sz w:val="24"/>
          <w:szCs w:val="24"/>
        </w:rPr>
        <w:t>even</w:t>
      </w:r>
      <w:r w:rsidR="002E1A27" w:rsidRPr="00072C15">
        <w:rPr>
          <w:rFonts w:ascii="Times New Roman" w:hAnsi="Times New Roman" w:cs="Times New Roman"/>
          <w:sz w:val="24"/>
          <w:szCs w:val="24"/>
        </w:rPr>
        <w:t xml:space="preserve"> years.</w:t>
      </w:r>
    </w:p>
    <w:p w:rsidR="001B4762" w:rsidRPr="00072C15" w:rsidRDefault="002E1A27" w:rsidP="0007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072C15">
        <w:rPr>
          <w:rFonts w:ascii="Times New Roman" w:hAnsi="Times New Roman" w:cs="Times New Roman"/>
          <w:sz w:val="24"/>
          <w:szCs w:val="24"/>
        </w:rPr>
        <w:t>A further complication of a longitudinal version of the Cluster Map is that</w:t>
      </w:r>
      <w:r w:rsidR="001B4762" w:rsidRPr="00072C15">
        <w:rPr>
          <w:rFonts w:ascii="Times New Roman" w:hAnsi="Times New Roman" w:cs="Times New Roman"/>
          <w:sz w:val="24"/>
          <w:szCs w:val="24"/>
        </w:rPr>
        <w:t xml:space="preserve"> some foreign owned businesses in the area have stopped reporting financial data </w:t>
      </w:r>
      <w:r w:rsidR="00014193" w:rsidRPr="00072C15">
        <w:rPr>
          <w:rFonts w:ascii="Times New Roman" w:hAnsi="Times New Roman" w:cs="Times New Roman"/>
          <w:sz w:val="24"/>
          <w:szCs w:val="24"/>
        </w:rPr>
        <w:t>s</w:t>
      </w:r>
      <w:r w:rsidR="001B4762" w:rsidRPr="00072C15">
        <w:rPr>
          <w:rFonts w:ascii="Times New Roman" w:hAnsi="Times New Roman" w:cs="Times New Roman"/>
          <w:sz w:val="24"/>
          <w:szCs w:val="24"/>
        </w:rPr>
        <w:t>in</w:t>
      </w:r>
      <w:r w:rsidR="00014193" w:rsidRPr="00072C15">
        <w:rPr>
          <w:rFonts w:ascii="Times New Roman" w:hAnsi="Times New Roman" w:cs="Times New Roman"/>
          <w:sz w:val="24"/>
          <w:szCs w:val="24"/>
        </w:rPr>
        <w:t>ce</w:t>
      </w:r>
      <w:r w:rsidR="001B4762" w:rsidRPr="00072C15">
        <w:rPr>
          <w:rFonts w:ascii="Times New Roman" w:hAnsi="Times New Roman" w:cs="Times New Roman"/>
          <w:sz w:val="24"/>
          <w:szCs w:val="24"/>
        </w:rPr>
        <w:t xml:space="preserve"> 201</w:t>
      </w:r>
      <w:r w:rsidR="00014193" w:rsidRPr="00072C15">
        <w:rPr>
          <w:rFonts w:ascii="Times New Roman" w:hAnsi="Times New Roman" w:cs="Times New Roman"/>
          <w:sz w:val="24"/>
          <w:szCs w:val="24"/>
        </w:rPr>
        <w:t>4</w:t>
      </w:r>
      <w:r w:rsidR="001B4762" w:rsidRPr="00072C15">
        <w:rPr>
          <w:rFonts w:ascii="Times New Roman" w:hAnsi="Times New Roman" w:cs="Times New Roman"/>
          <w:sz w:val="24"/>
          <w:szCs w:val="24"/>
        </w:rPr>
        <w:t>/1</w:t>
      </w:r>
      <w:r w:rsidR="00014193" w:rsidRPr="00072C15">
        <w:rPr>
          <w:rFonts w:ascii="Times New Roman" w:hAnsi="Times New Roman" w:cs="Times New Roman"/>
          <w:sz w:val="24"/>
          <w:szCs w:val="24"/>
        </w:rPr>
        <w:t>5</w:t>
      </w:r>
      <w:r w:rsidRPr="00072C15">
        <w:rPr>
          <w:rFonts w:ascii="Times New Roman" w:hAnsi="Times New Roman" w:cs="Times New Roman"/>
          <w:sz w:val="24"/>
          <w:szCs w:val="24"/>
        </w:rPr>
        <w:t>. This means that</w:t>
      </w:r>
      <w:r w:rsidR="001B4762" w:rsidRPr="00072C15">
        <w:rPr>
          <w:rFonts w:ascii="Times New Roman" w:hAnsi="Times New Roman" w:cs="Times New Roman"/>
          <w:sz w:val="24"/>
          <w:szCs w:val="24"/>
        </w:rPr>
        <w:t xml:space="preserve"> </w:t>
      </w:r>
      <w:r w:rsidRPr="00072C15">
        <w:rPr>
          <w:rFonts w:ascii="Times New Roman" w:hAnsi="Times New Roman" w:cs="Times New Roman"/>
          <w:sz w:val="24"/>
          <w:szCs w:val="24"/>
        </w:rPr>
        <w:t>we could s</w:t>
      </w:r>
      <w:r w:rsidR="00014193" w:rsidRPr="00072C15">
        <w:rPr>
          <w:rFonts w:ascii="Times New Roman" w:hAnsi="Times New Roman" w:cs="Times New Roman"/>
          <w:sz w:val="24"/>
          <w:szCs w:val="24"/>
        </w:rPr>
        <w:t>h</w:t>
      </w:r>
      <w:r w:rsidRPr="00072C15">
        <w:rPr>
          <w:rFonts w:ascii="Times New Roman" w:hAnsi="Times New Roman" w:cs="Times New Roman"/>
          <w:sz w:val="24"/>
          <w:szCs w:val="24"/>
        </w:rPr>
        <w:t xml:space="preserve">ow significant falls in employment and turnover if we were to continue to include them as </w:t>
      </w:r>
      <w:r w:rsidR="006C419A" w:rsidRPr="00072C15">
        <w:rPr>
          <w:rFonts w:ascii="Times New Roman" w:hAnsi="Times New Roman" w:cs="Times New Roman"/>
          <w:sz w:val="24"/>
          <w:szCs w:val="24"/>
        </w:rPr>
        <w:t>C</w:t>
      </w:r>
      <w:r w:rsidRPr="00072C15">
        <w:rPr>
          <w:rFonts w:ascii="Times New Roman" w:hAnsi="Times New Roman" w:cs="Times New Roman"/>
          <w:sz w:val="24"/>
          <w:szCs w:val="24"/>
        </w:rPr>
        <w:t>ambridge based</w:t>
      </w:r>
      <w:r w:rsidR="006C419A" w:rsidRPr="00072C15">
        <w:rPr>
          <w:rFonts w:ascii="Times New Roman" w:hAnsi="Times New Roman" w:cs="Times New Roman"/>
          <w:sz w:val="24"/>
          <w:szCs w:val="24"/>
        </w:rPr>
        <w:t xml:space="preserve"> companies (which they are!). Instead, we decided</w:t>
      </w:r>
      <w:r w:rsidR="001B4762" w:rsidRPr="00072C15">
        <w:rPr>
          <w:rFonts w:ascii="Times New Roman" w:hAnsi="Times New Roman" w:cs="Times New Roman"/>
          <w:sz w:val="24"/>
          <w:szCs w:val="24"/>
        </w:rPr>
        <w:t xml:space="preserve"> to</w:t>
      </w:r>
      <w:r w:rsidR="006C419A" w:rsidRPr="00072C15">
        <w:rPr>
          <w:rFonts w:ascii="Times New Roman" w:hAnsi="Times New Roman" w:cs="Times New Roman"/>
          <w:sz w:val="24"/>
          <w:szCs w:val="24"/>
        </w:rPr>
        <w:t xml:space="preserve"> move them to </w:t>
      </w:r>
      <w:r w:rsidR="001B4762" w:rsidRPr="00072C15">
        <w:rPr>
          <w:rFonts w:ascii="Times New Roman" w:hAnsi="Times New Roman" w:cs="Times New Roman"/>
          <w:sz w:val="24"/>
          <w:szCs w:val="24"/>
        </w:rPr>
        <w:t xml:space="preserve">Cambridge </w:t>
      </w:r>
      <w:r w:rsidR="00072C15">
        <w:rPr>
          <w:rFonts w:ascii="Times New Roman" w:hAnsi="Times New Roman" w:cs="Times New Roman"/>
          <w:sz w:val="24"/>
          <w:szCs w:val="24"/>
        </w:rPr>
        <w:t>a</w:t>
      </w:r>
      <w:r w:rsidR="001B4762" w:rsidRPr="00072C15">
        <w:rPr>
          <w:rFonts w:ascii="Times New Roman" w:hAnsi="Times New Roman" w:cs="Times New Roman"/>
          <w:sz w:val="24"/>
          <w:szCs w:val="24"/>
        </w:rPr>
        <w:t xml:space="preserve">ctive </w:t>
      </w:r>
      <w:r w:rsidR="006C419A" w:rsidRPr="00072C15">
        <w:rPr>
          <w:rFonts w:ascii="Times New Roman" w:hAnsi="Times New Roman" w:cs="Times New Roman"/>
          <w:sz w:val="24"/>
          <w:szCs w:val="24"/>
        </w:rPr>
        <w:t xml:space="preserve">companies </w:t>
      </w:r>
      <w:r w:rsidR="001B4762" w:rsidRPr="00072C15">
        <w:rPr>
          <w:rFonts w:ascii="Times New Roman" w:hAnsi="Times New Roman" w:cs="Times New Roman"/>
          <w:sz w:val="24"/>
          <w:szCs w:val="24"/>
        </w:rPr>
        <w:t>on the Cluster Map</w:t>
      </w:r>
      <w:r w:rsidR="00014193" w:rsidRPr="00072C15">
        <w:rPr>
          <w:rFonts w:ascii="Times New Roman" w:hAnsi="Times New Roman" w:cs="Times New Roman"/>
          <w:sz w:val="24"/>
          <w:szCs w:val="24"/>
        </w:rPr>
        <w:t xml:space="preserve"> </w:t>
      </w:r>
      <w:r w:rsidR="006C419A" w:rsidRPr="00072C15">
        <w:rPr>
          <w:rFonts w:ascii="Times New Roman" w:hAnsi="Times New Roman" w:cs="Times New Roman"/>
          <w:sz w:val="24"/>
          <w:szCs w:val="24"/>
        </w:rPr>
        <w:t>(for all of the past six years) in order to avoid this distortion</w:t>
      </w:r>
      <w:r w:rsidR="00072C15">
        <w:rPr>
          <w:rFonts w:ascii="Times New Roman" w:hAnsi="Times New Roman" w:cs="Times New Roman"/>
          <w:sz w:val="24"/>
          <w:szCs w:val="24"/>
        </w:rPr>
        <w:t>.</w:t>
      </w:r>
    </w:p>
    <w:p w:rsidR="006C419A" w:rsidRPr="00072C15" w:rsidRDefault="006C419A" w:rsidP="0007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072C15">
        <w:rPr>
          <w:rFonts w:ascii="Times New Roman" w:hAnsi="Times New Roman" w:cs="Times New Roman"/>
          <w:sz w:val="24"/>
          <w:szCs w:val="24"/>
        </w:rPr>
        <w:t>Finally, we are delighted to note t</w:t>
      </w:r>
      <w:r w:rsidR="00014193" w:rsidRPr="00072C15">
        <w:rPr>
          <w:rFonts w:ascii="Times New Roman" w:hAnsi="Times New Roman" w:cs="Times New Roman"/>
          <w:sz w:val="24"/>
          <w:szCs w:val="24"/>
        </w:rPr>
        <w:t>h</w:t>
      </w:r>
      <w:r w:rsidRPr="00072C15">
        <w:rPr>
          <w:rFonts w:ascii="Times New Roman" w:hAnsi="Times New Roman" w:cs="Times New Roman"/>
          <w:sz w:val="24"/>
          <w:szCs w:val="24"/>
        </w:rPr>
        <w:t>at Astra</w:t>
      </w:r>
      <w:r w:rsidR="00072C15">
        <w:rPr>
          <w:rFonts w:ascii="Times New Roman" w:hAnsi="Times New Roman" w:cs="Times New Roman"/>
          <w:sz w:val="24"/>
          <w:szCs w:val="24"/>
        </w:rPr>
        <w:t>Z</w:t>
      </w:r>
      <w:r w:rsidRPr="00072C15">
        <w:rPr>
          <w:rFonts w:ascii="Times New Roman" w:hAnsi="Times New Roman" w:cs="Times New Roman"/>
          <w:sz w:val="24"/>
          <w:szCs w:val="24"/>
        </w:rPr>
        <w:t>eneca PLC has moved its international headquarters to Cambridge and this should lead to its classification as Cambridge based. However, this would swamp the total employment and turnover of Cambridge based companies. Therefore, at this stage, we have decided to retain it as Cambridge active and to include a significant Cambridge subsidiary (Medimmune) as a Cambridge based company.</w:t>
      </w:r>
    </w:p>
    <w:sectPr w:rsidR="006C419A" w:rsidRPr="00072C15" w:rsidSect="00CE44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2214"/>
    <w:multiLevelType w:val="hybridMultilevel"/>
    <w:tmpl w:val="0DCC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F7"/>
    <w:rsid w:val="00011A7A"/>
    <w:rsid w:val="00014193"/>
    <w:rsid w:val="00040C49"/>
    <w:rsid w:val="00057ABF"/>
    <w:rsid w:val="00072C15"/>
    <w:rsid w:val="000A2D9B"/>
    <w:rsid w:val="000A4A8D"/>
    <w:rsid w:val="000E2B6B"/>
    <w:rsid w:val="000F3C78"/>
    <w:rsid w:val="00135DCA"/>
    <w:rsid w:val="00157F0B"/>
    <w:rsid w:val="001B4762"/>
    <w:rsid w:val="001E686F"/>
    <w:rsid w:val="00203992"/>
    <w:rsid w:val="00251A16"/>
    <w:rsid w:val="002D4831"/>
    <w:rsid w:val="002E1A27"/>
    <w:rsid w:val="002E7B4D"/>
    <w:rsid w:val="00312390"/>
    <w:rsid w:val="003277B1"/>
    <w:rsid w:val="00396440"/>
    <w:rsid w:val="003B147B"/>
    <w:rsid w:val="003B374E"/>
    <w:rsid w:val="00406FAD"/>
    <w:rsid w:val="00416683"/>
    <w:rsid w:val="0045317D"/>
    <w:rsid w:val="00470D41"/>
    <w:rsid w:val="004850B6"/>
    <w:rsid w:val="005A15FE"/>
    <w:rsid w:val="005A5BF8"/>
    <w:rsid w:val="006103CC"/>
    <w:rsid w:val="006C419A"/>
    <w:rsid w:val="006F636D"/>
    <w:rsid w:val="007029BB"/>
    <w:rsid w:val="00706FE0"/>
    <w:rsid w:val="0071075E"/>
    <w:rsid w:val="0076661F"/>
    <w:rsid w:val="00767B8A"/>
    <w:rsid w:val="007A434C"/>
    <w:rsid w:val="007D03B6"/>
    <w:rsid w:val="00810996"/>
    <w:rsid w:val="00877978"/>
    <w:rsid w:val="00890FC8"/>
    <w:rsid w:val="008A6E6D"/>
    <w:rsid w:val="008B6DC0"/>
    <w:rsid w:val="008C4464"/>
    <w:rsid w:val="008D5EFA"/>
    <w:rsid w:val="00932EB4"/>
    <w:rsid w:val="009A311A"/>
    <w:rsid w:val="009B1C0F"/>
    <w:rsid w:val="009D326A"/>
    <w:rsid w:val="009F1B4A"/>
    <w:rsid w:val="00A505AB"/>
    <w:rsid w:val="00A514C9"/>
    <w:rsid w:val="00A62F6D"/>
    <w:rsid w:val="00A81F91"/>
    <w:rsid w:val="00B02090"/>
    <w:rsid w:val="00B205E9"/>
    <w:rsid w:val="00C05E9C"/>
    <w:rsid w:val="00C13A33"/>
    <w:rsid w:val="00CC72D5"/>
    <w:rsid w:val="00CD6FAD"/>
    <w:rsid w:val="00CE44E1"/>
    <w:rsid w:val="00DD0E12"/>
    <w:rsid w:val="00DF2058"/>
    <w:rsid w:val="00E050C9"/>
    <w:rsid w:val="00E330CF"/>
    <w:rsid w:val="00E630F9"/>
    <w:rsid w:val="00E74537"/>
    <w:rsid w:val="00E77D85"/>
    <w:rsid w:val="00EC31F7"/>
    <w:rsid w:val="00EC383B"/>
    <w:rsid w:val="00EF0548"/>
    <w:rsid w:val="00F06034"/>
    <w:rsid w:val="00F213C7"/>
    <w:rsid w:val="00F517E7"/>
    <w:rsid w:val="00F84433"/>
    <w:rsid w:val="00FA5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DEBB"/>
  <w15:docId w15:val="{823A602C-174A-4782-A561-42D85779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1F7"/>
    <w:rPr>
      <w:color w:val="0000FF"/>
      <w:u w:val="single"/>
    </w:rPr>
  </w:style>
  <w:style w:type="paragraph" w:styleId="CommentText">
    <w:name w:val="annotation text"/>
    <w:basedOn w:val="Normal"/>
    <w:link w:val="CommentTextChar"/>
    <w:uiPriority w:val="99"/>
    <w:semiHidden/>
    <w:rsid w:val="00DF2058"/>
    <w:pPr>
      <w:spacing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DF2058"/>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767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B8A"/>
    <w:rPr>
      <w:rFonts w:ascii="Tahoma" w:hAnsi="Tahoma" w:cs="Tahoma"/>
      <w:sz w:val="16"/>
      <w:szCs w:val="16"/>
    </w:rPr>
  </w:style>
  <w:style w:type="paragraph" w:styleId="HTMLPreformatted">
    <w:name w:val="HTML Preformatted"/>
    <w:basedOn w:val="Normal"/>
    <w:link w:val="HTMLPreformattedChar"/>
    <w:uiPriority w:val="99"/>
    <w:semiHidden/>
    <w:unhideWhenUsed/>
    <w:rsid w:val="001B4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4762"/>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0A2D9B"/>
    <w:rPr>
      <w:color w:val="800080" w:themeColor="followedHyperlink"/>
      <w:u w:val="single"/>
    </w:rPr>
  </w:style>
  <w:style w:type="paragraph" w:styleId="ListParagraph">
    <w:name w:val="List Paragraph"/>
    <w:basedOn w:val="Normal"/>
    <w:uiPriority w:val="34"/>
    <w:qFormat/>
    <w:rsid w:val="00E74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75200">
      <w:bodyDiv w:val="1"/>
      <w:marLeft w:val="0"/>
      <w:marRight w:val="0"/>
      <w:marTop w:val="0"/>
      <w:marBottom w:val="0"/>
      <w:divBdr>
        <w:top w:val="none" w:sz="0" w:space="0" w:color="auto"/>
        <w:left w:val="none" w:sz="0" w:space="0" w:color="auto"/>
        <w:bottom w:val="none" w:sz="0" w:space="0" w:color="auto"/>
        <w:right w:val="none" w:sz="0" w:space="0" w:color="auto"/>
      </w:divBdr>
    </w:div>
    <w:div w:id="267084119">
      <w:bodyDiv w:val="1"/>
      <w:marLeft w:val="0"/>
      <w:marRight w:val="0"/>
      <w:marTop w:val="0"/>
      <w:marBottom w:val="0"/>
      <w:divBdr>
        <w:top w:val="none" w:sz="0" w:space="0" w:color="auto"/>
        <w:left w:val="none" w:sz="0" w:space="0" w:color="auto"/>
        <w:bottom w:val="none" w:sz="0" w:space="0" w:color="auto"/>
        <w:right w:val="none" w:sz="0" w:space="0" w:color="auto"/>
      </w:divBdr>
    </w:div>
    <w:div w:id="393164599">
      <w:bodyDiv w:val="1"/>
      <w:marLeft w:val="0"/>
      <w:marRight w:val="0"/>
      <w:marTop w:val="0"/>
      <w:marBottom w:val="0"/>
      <w:divBdr>
        <w:top w:val="none" w:sz="0" w:space="0" w:color="auto"/>
        <w:left w:val="none" w:sz="0" w:space="0" w:color="auto"/>
        <w:bottom w:val="none" w:sz="0" w:space="0" w:color="auto"/>
        <w:right w:val="none" w:sz="0" w:space="0" w:color="auto"/>
      </w:divBdr>
    </w:div>
    <w:div w:id="444929004">
      <w:bodyDiv w:val="1"/>
      <w:marLeft w:val="0"/>
      <w:marRight w:val="0"/>
      <w:marTop w:val="0"/>
      <w:marBottom w:val="0"/>
      <w:divBdr>
        <w:top w:val="none" w:sz="0" w:space="0" w:color="auto"/>
        <w:left w:val="none" w:sz="0" w:space="0" w:color="auto"/>
        <w:bottom w:val="none" w:sz="0" w:space="0" w:color="auto"/>
        <w:right w:val="none" w:sz="0" w:space="0" w:color="auto"/>
      </w:divBdr>
    </w:div>
    <w:div w:id="1197885835">
      <w:bodyDiv w:val="1"/>
      <w:marLeft w:val="0"/>
      <w:marRight w:val="0"/>
      <w:marTop w:val="0"/>
      <w:marBottom w:val="0"/>
      <w:divBdr>
        <w:top w:val="none" w:sz="0" w:space="0" w:color="auto"/>
        <w:left w:val="none" w:sz="0" w:space="0" w:color="auto"/>
        <w:bottom w:val="none" w:sz="0" w:space="0" w:color="auto"/>
        <w:right w:val="none" w:sz="0" w:space="0" w:color="auto"/>
      </w:divBdr>
    </w:div>
    <w:div w:id="1469278830">
      <w:bodyDiv w:val="1"/>
      <w:marLeft w:val="0"/>
      <w:marRight w:val="0"/>
      <w:marTop w:val="0"/>
      <w:marBottom w:val="0"/>
      <w:divBdr>
        <w:top w:val="none" w:sz="0" w:space="0" w:color="auto"/>
        <w:left w:val="none" w:sz="0" w:space="0" w:color="auto"/>
        <w:bottom w:val="none" w:sz="0" w:space="0" w:color="auto"/>
        <w:right w:val="none" w:sz="0" w:space="0" w:color="auto"/>
      </w:divBdr>
    </w:div>
    <w:div w:id="19962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s.gov.uk/ons/rel/regional-trends/london-analysis/identifying-science-and-technology-businesses-in-official-statistics/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bridgeahead.co.uk/wp-content/uploads/2016/02/Centre-for-Business-Research-logo-2.jpg" TargetMode="External"/><Relationship Id="rId11" Type="http://schemas.openxmlformats.org/officeDocument/2006/relationships/hyperlink" Target="https://www.prao.admin.cam.ac.uk/data-analysis-planning/student-numbers/snapshot-courseschooldepartment" TargetMode="External"/><Relationship Id="rId5" Type="http://schemas.openxmlformats.org/officeDocument/2006/relationships/webSettings" Target="webSettings.xml"/><Relationship Id="rId10" Type="http://schemas.openxmlformats.org/officeDocument/2006/relationships/hyperlink" Target="http://www.cambridgeahead.co.uk/wp-content/uploads/2016/02/CBR-Dataset-Sector-classifications-&amp;-counts-Feb-2016.pdf" TargetMode="External"/><Relationship Id="rId4" Type="http://schemas.openxmlformats.org/officeDocument/2006/relationships/settings" Target="settings.xml"/><Relationship Id="rId9" Type="http://schemas.openxmlformats.org/officeDocument/2006/relationships/hyperlink" Target="http://ec.europa.eu/eurostat/statistics-explained/index.php?title=High-tech_statistics_-_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54760-972B-43A5-A55E-53ED53DF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adc1</dc:creator>
  <cp:lastModifiedBy>Andy Cosh</cp:lastModifiedBy>
  <cp:revision>2</cp:revision>
  <dcterms:created xsi:type="dcterms:W3CDTF">2018-05-11T12:47:00Z</dcterms:created>
  <dcterms:modified xsi:type="dcterms:W3CDTF">2018-05-11T12:47:00Z</dcterms:modified>
</cp:coreProperties>
</file>