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14" w:rsidRPr="00A43A51" w:rsidRDefault="00A43A51" w:rsidP="001C1EF0">
      <w:pPr>
        <w:spacing w:after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51">
        <w:rPr>
          <w:rFonts w:ascii="Times New Roman" w:hAnsi="Times New Roman" w:cs="Times New Roman"/>
          <w:b/>
          <w:sz w:val="28"/>
          <w:szCs w:val="28"/>
        </w:rPr>
        <w:t>Guidance on CBR data and analyses</w:t>
      </w:r>
    </w:p>
    <w:p w:rsidR="00A43A51" w:rsidRDefault="00BE726F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BE726F">
        <w:rPr>
          <w:rFonts w:ascii="Times New Roman" w:hAnsi="Times New Roman" w:cs="Times New Roman"/>
          <w:sz w:val="24"/>
          <w:szCs w:val="24"/>
        </w:rPr>
        <w:t>The data inclu</w:t>
      </w:r>
      <w:r w:rsidR="004B402D">
        <w:rPr>
          <w:rFonts w:ascii="Times New Roman" w:hAnsi="Times New Roman" w:cs="Times New Roman"/>
          <w:sz w:val="24"/>
          <w:szCs w:val="24"/>
        </w:rPr>
        <w:t>ded o</w:t>
      </w:r>
      <w:r>
        <w:rPr>
          <w:rFonts w:ascii="Times New Roman" w:hAnsi="Times New Roman" w:cs="Times New Roman"/>
          <w:sz w:val="24"/>
          <w:szCs w:val="24"/>
        </w:rPr>
        <w:t>n the CBR corporate database can be examined in a number of ways. Use our project webpage to access the foll</w:t>
      </w:r>
      <w:r w:rsidR="001C1EF0">
        <w:rPr>
          <w:rFonts w:ascii="Times New Roman" w:hAnsi="Times New Roman" w:cs="Times New Roman"/>
          <w:sz w:val="24"/>
          <w:szCs w:val="24"/>
        </w:rPr>
        <w:t xml:space="preserve">owing </w:t>
      </w:r>
      <w:r w:rsidR="00A92D20">
        <w:rPr>
          <w:rFonts w:ascii="Times New Roman" w:hAnsi="Times New Roman" w:cs="Times New Roman"/>
          <w:sz w:val="24"/>
          <w:szCs w:val="24"/>
        </w:rPr>
        <w:t>sources</w:t>
      </w:r>
      <w:r w:rsidR="001C1EF0">
        <w:rPr>
          <w:rFonts w:ascii="Times New Roman" w:hAnsi="Times New Roman" w:cs="Times New Roman"/>
          <w:sz w:val="24"/>
          <w:szCs w:val="24"/>
        </w:rPr>
        <w:t>:</w:t>
      </w:r>
    </w:p>
    <w:p w:rsidR="00BE726F" w:rsidRDefault="00BE726F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0">
        <w:rPr>
          <w:rFonts w:ascii="Times New Roman" w:hAnsi="Times New Roman" w:cs="Times New Roman"/>
          <w:b/>
          <w:i/>
          <w:sz w:val="24"/>
          <w:szCs w:val="24"/>
        </w:rPr>
        <w:t>Cambridge Cluster Insights</w:t>
      </w:r>
      <w:r>
        <w:rPr>
          <w:rFonts w:ascii="Times New Roman" w:hAnsi="Times New Roman" w:cs="Times New Roman"/>
          <w:sz w:val="24"/>
          <w:szCs w:val="24"/>
        </w:rPr>
        <w:t xml:space="preserve"> (see </w:t>
      </w:r>
      <w:r w:rsidRPr="00A92D20">
        <w:rPr>
          <w:rFonts w:ascii="Times New Roman" w:hAnsi="Times New Roman" w:cs="Times New Roman"/>
          <w:i/>
          <w:sz w:val="24"/>
          <w:szCs w:val="24"/>
        </w:rPr>
        <w:t>Cambridge Cluster Insights</w:t>
      </w:r>
      <w:r>
        <w:rPr>
          <w:rFonts w:ascii="Times New Roman" w:hAnsi="Times New Roman" w:cs="Times New Roman"/>
          <w:sz w:val="24"/>
          <w:szCs w:val="24"/>
        </w:rPr>
        <w:t xml:space="preserve"> tab</w:t>
      </w:r>
      <w:r w:rsidR="004360A6">
        <w:rPr>
          <w:rFonts w:ascii="Times New Roman" w:hAnsi="Times New Roman" w:cs="Times New Roman"/>
          <w:sz w:val="24"/>
          <w:szCs w:val="24"/>
        </w:rPr>
        <w:t>)</w:t>
      </w:r>
      <w:r w:rsidR="001C1EF0">
        <w:rPr>
          <w:rFonts w:ascii="Times New Roman" w:hAnsi="Times New Roman" w:cs="Times New Roman"/>
          <w:sz w:val="24"/>
          <w:szCs w:val="24"/>
        </w:rPr>
        <w:t xml:space="preserve">: </w:t>
      </w:r>
      <w:r w:rsidR="0039526B">
        <w:rPr>
          <w:rFonts w:ascii="Times New Roman" w:hAnsi="Times New Roman" w:cs="Times New Roman"/>
          <w:sz w:val="24"/>
          <w:szCs w:val="24"/>
        </w:rPr>
        <w:t xml:space="preserve">Cambridge Cluster Insights is an interactive dashboard with information on over 25,000 businesses in the </w:t>
      </w:r>
      <w:r w:rsidR="00913E59">
        <w:rPr>
          <w:rFonts w:ascii="Times New Roman" w:hAnsi="Times New Roman" w:cs="Times New Roman"/>
          <w:sz w:val="24"/>
          <w:szCs w:val="24"/>
        </w:rPr>
        <w:t xml:space="preserve">wider </w:t>
      </w:r>
      <w:r w:rsidR="0039526B">
        <w:rPr>
          <w:rFonts w:ascii="Times New Roman" w:hAnsi="Times New Roman" w:cs="Times New Roman"/>
          <w:sz w:val="24"/>
          <w:szCs w:val="24"/>
        </w:rPr>
        <w:t>Cambridge region. I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t </w:t>
      </w:r>
      <w:r w:rsidR="009E5FDF">
        <w:rPr>
          <w:rFonts w:ascii="Times New Roman" w:hAnsi="Times New Roman" w:cs="Times New Roman"/>
          <w:sz w:val="24"/>
          <w:szCs w:val="24"/>
        </w:rPr>
        <w:t>monitors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</w:t>
      </w:r>
      <w:r w:rsidR="0039526B">
        <w:rPr>
          <w:rFonts w:ascii="Times New Roman" w:hAnsi="Times New Roman" w:cs="Times New Roman"/>
          <w:sz w:val="24"/>
          <w:szCs w:val="24"/>
        </w:rPr>
        <w:t>global turnover and employment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growth of Cambridge-based companies and tracks the numbe</w:t>
      </w:r>
      <w:r w:rsidR="0039526B">
        <w:rPr>
          <w:rFonts w:ascii="Times New Roman" w:hAnsi="Times New Roman" w:cs="Times New Roman"/>
          <w:sz w:val="24"/>
          <w:szCs w:val="24"/>
        </w:rPr>
        <w:t>r of Cambridge-active companies as well as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</w:t>
      </w:r>
      <w:r w:rsidR="0039526B">
        <w:rPr>
          <w:rFonts w:ascii="Times New Roman" w:hAnsi="Times New Roman" w:cs="Times New Roman"/>
          <w:sz w:val="24"/>
          <w:szCs w:val="24"/>
        </w:rPr>
        <w:t>non-corporate Knowledge-Intensive</w:t>
      </w:r>
      <w:r w:rsidR="004360A6">
        <w:rPr>
          <w:rFonts w:ascii="Times New Roman" w:hAnsi="Times New Roman" w:cs="Times New Roman"/>
          <w:sz w:val="24"/>
          <w:szCs w:val="24"/>
        </w:rPr>
        <w:t xml:space="preserve"> (KI)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research organisations</w:t>
      </w:r>
      <w:r w:rsidR="0039526B">
        <w:rPr>
          <w:rFonts w:ascii="Times New Roman" w:hAnsi="Times New Roman" w:cs="Times New Roman"/>
          <w:sz w:val="24"/>
          <w:szCs w:val="24"/>
        </w:rPr>
        <w:t xml:space="preserve">. Use the filters provided to </w:t>
      </w:r>
      <w:r w:rsidR="009E5FDF">
        <w:rPr>
          <w:rFonts w:ascii="Times New Roman" w:hAnsi="Times New Roman" w:cs="Times New Roman"/>
          <w:sz w:val="24"/>
          <w:szCs w:val="24"/>
        </w:rPr>
        <w:t>create bespoke analyses</w:t>
      </w:r>
      <w:r w:rsidR="0039526B">
        <w:rPr>
          <w:rFonts w:ascii="Times New Roman" w:hAnsi="Times New Roman" w:cs="Times New Roman"/>
          <w:sz w:val="24"/>
          <w:szCs w:val="24"/>
        </w:rPr>
        <w:t xml:space="preserve"> for the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area, organisation type and sector</w:t>
      </w:r>
      <w:r w:rsidR="0039526B">
        <w:rPr>
          <w:rFonts w:ascii="Times New Roman" w:hAnsi="Times New Roman" w:cs="Times New Roman"/>
          <w:sz w:val="24"/>
          <w:szCs w:val="24"/>
        </w:rPr>
        <w:t xml:space="preserve"> you are interested in. The dashboard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shows </w:t>
      </w:r>
      <w:r w:rsidR="008C51CC">
        <w:rPr>
          <w:rFonts w:ascii="Times New Roman" w:hAnsi="Times New Roman" w:cs="Times New Roman"/>
          <w:sz w:val="24"/>
          <w:szCs w:val="24"/>
        </w:rPr>
        <w:t xml:space="preserve">only those </w:t>
      </w:r>
      <w:r w:rsidR="009E5FDF">
        <w:rPr>
          <w:rFonts w:ascii="Times New Roman" w:hAnsi="Times New Roman" w:cs="Times New Roman"/>
          <w:sz w:val="24"/>
          <w:szCs w:val="24"/>
        </w:rPr>
        <w:t>organisations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</w:t>
      </w:r>
      <w:r w:rsidR="009E5FDF">
        <w:rPr>
          <w:rFonts w:ascii="Times New Roman" w:hAnsi="Times New Roman" w:cs="Times New Roman"/>
          <w:sz w:val="24"/>
          <w:szCs w:val="24"/>
        </w:rPr>
        <w:t>that were</w:t>
      </w:r>
      <w:r w:rsidR="0039526B" w:rsidRPr="0039526B">
        <w:rPr>
          <w:rFonts w:ascii="Times New Roman" w:hAnsi="Times New Roman" w:cs="Times New Roman"/>
          <w:sz w:val="24"/>
          <w:szCs w:val="24"/>
        </w:rPr>
        <w:t xml:space="preserve"> alive at the end of the latest time period</w:t>
      </w:r>
      <w:r w:rsidR="009E5FDF">
        <w:rPr>
          <w:rFonts w:ascii="Times New Roman" w:hAnsi="Times New Roman" w:cs="Times New Roman"/>
          <w:sz w:val="24"/>
          <w:szCs w:val="24"/>
        </w:rPr>
        <w:t>.</w:t>
      </w:r>
      <w:r w:rsidR="004B402D">
        <w:rPr>
          <w:rFonts w:ascii="Times New Roman" w:hAnsi="Times New Roman" w:cs="Times New Roman"/>
          <w:sz w:val="24"/>
          <w:szCs w:val="24"/>
        </w:rPr>
        <w:t xml:space="preserve"> Further guidance on the data presented on Cambridge Cluster Insights can be accessed by clicking on the information icons that appear on the dashboard.</w:t>
      </w:r>
    </w:p>
    <w:p w:rsidR="008C51CC" w:rsidRDefault="00BE726F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0">
        <w:rPr>
          <w:rFonts w:ascii="Times New Roman" w:hAnsi="Times New Roman" w:cs="Times New Roman"/>
          <w:b/>
          <w:i/>
          <w:sz w:val="24"/>
          <w:szCs w:val="24"/>
        </w:rPr>
        <w:t>Summary tables by sectors</w:t>
      </w:r>
      <w:r w:rsidR="001C1EF0">
        <w:rPr>
          <w:rFonts w:ascii="Times New Roman" w:hAnsi="Times New Roman" w:cs="Times New Roman"/>
          <w:sz w:val="24"/>
          <w:szCs w:val="24"/>
        </w:rPr>
        <w:t xml:space="preserve"> (see </w:t>
      </w:r>
      <w:r w:rsidR="001C1EF0" w:rsidRPr="00A92D20">
        <w:rPr>
          <w:rFonts w:ascii="Times New Roman" w:hAnsi="Times New Roman" w:cs="Times New Roman"/>
          <w:i/>
          <w:sz w:val="24"/>
          <w:szCs w:val="24"/>
        </w:rPr>
        <w:t>Table 1</w:t>
      </w:r>
      <w:r w:rsidR="001C1EF0">
        <w:rPr>
          <w:rFonts w:ascii="Times New Roman" w:hAnsi="Times New Roman" w:cs="Times New Roman"/>
          <w:sz w:val="24"/>
          <w:szCs w:val="24"/>
        </w:rPr>
        <w:t xml:space="preserve">): </w:t>
      </w:r>
      <w:r w:rsidR="004B402D" w:rsidRPr="004B402D">
        <w:rPr>
          <w:rFonts w:ascii="Times New Roman" w:hAnsi="Times New Roman" w:cs="Times New Roman"/>
          <w:sz w:val="24"/>
          <w:szCs w:val="24"/>
        </w:rPr>
        <w:t>t</w:t>
      </w:r>
      <w:r w:rsidR="004B402D">
        <w:rPr>
          <w:rFonts w:ascii="Times New Roman" w:hAnsi="Times New Roman" w:cs="Times New Roman"/>
          <w:sz w:val="24"/>
          <w:szCs w:val="24"/>
        </w:rPr>
        <w:t>he</w:t>
      </w:r>
      <w:r w:rsidR="004B402D" w:rsidRPr="004B402D">
        <w:rPr>
          <w:rFonts w:ascii="Times New Roman" w:hAnsi="Times New Roman" w:cs="Times New Roman"/>
          <w:sz w:val="24"/>
          <w:szCs w:val="24"/>
        </w:rPr>
        <w:t xml:space="preserve"> tables </w:t>
      </w:r>
      <w:r w:rsidR="004B402D">
        <w:rPr>
          <w:rFonts w:ascii="Times New Roman" w:hAnsi="Times New Roman" w:cs="Times New Roman"/>
          <w:sz w:val="24"/>
          <w:szCs w:val="24"/>
        </w:rPr>
        <w:t>summarise</w:t>
      </w:r>
      <w:r w:rsidR="004B402D" w:rsidRPr="004B402D">
        <w:rPr>
          <w:rFonts w:ascii="Times New Roman" w:hAnsi="Times New Roman" w:cs="Times New Roman"/>
          <w:sz w:val="24"/>
          <w:szCs w:val="24"/>
        </w:rPr>
        <w:t xml:space="preserve"> the sectoral composition, global turnover and global employment of Cambridge-based companies, </w:t>
      </w:r>
      <w:r w:rsidR="004B402D">
        <w:rPr>
          <w:rFonts w:ascii="Times New Roman" w:hAnsi="Times New Roman" w:cs="Times New Roman"/>
          <w:sz w:val="24"/>
          <w:szCs w:val="24"/>
        </w:rPr>
        <w:t>as well as</w:t>
      </w:r>
      <w:r w:rsidR="004B402D" w:rsidRPr="004B402D">
        <w:rPr>
          <w:rFonts w:ascii="Times New Roman" w:hAnsi="Times New Roman" w:cs="Times New Roman"/>
          <w:sz w:val="24"/>
          <w:szCs w:val="24"/>
        </w:rPr>
        <w:t xml:space="preserve"> the changes in these </w:t>
      </w:r>
      <w:r w:rsidR="004B402D">
        <w:rPr>
          <w:rFonts w:ascii="Times New Roman" w:hAnsi="Times New Roman" w:cs="Times New Roman"/>
          <w:sz w:val="24"/>
          <w:szCs w:val="24"/>
        </w:rPr>
        <w:t>from</w:t>
      </w:r>
      <w:r w:rsidR="004B402D" w:rsidRPr="004B402D">
        <w:rPr>
          <w:rFonts w:ascii="Times New Roman" w:hAnsi="Times New Roman" w:cs="Times New Roman"/>
          <w:sz w:val="24"/>
          <w:szCs w:val="24"/>
        </w:rPr>
        <w:t xml:space="preserve"> 2012-13 to 2018-19</w:t>
      </w:r>
      <w:r w:rsidR="004B402D">
        <w:rPr>
          <w:rFonts w:ascii="Times New Roman" w:hAnsi="Times New Roman" w:cs="Times New Roman"/>
          <w:sz w:val="24"/>
          <w:szCs w:val="24"/>
        </w:rPr>
        <w:t xml:space="preserve">. View these tables to </w:t>
      </w:r>
      <w:r w:rsidR="001D21F9">
        <w:rPr>
          <w:rFonts w:ascii="Times New Roman" w:hAnsi="Times New Roman" w:cs="Times New Roman"/>
          <w:sz w:val="24"/>
          <w:szCs w:val="24"/>
        </w:rPr>
        <w:t xml:space="preserve">examine the relative size of each sector and how they have </w:t>
      </w:r>
      <w:r w:rsidR="00E04A5A">
        <w:rPr>
          <w:rFonts w:ascii="Times New Roman" w:hAnsi="Times New Roman" w:cs="Times New Roman"/>
          <w:sz w:val="24"/>
          <w:szCs w:val="24"/>
        </w:rPr>
        <w:t>performed</w:t>
      </w:r>
      <w:r w:rsidR="001D21F9">
        <w:rPr>
          <w:rFonts w:ascii="Times New Roman" w:hAnsi="Times New Roman" w:cs="Times New Roman"/>
          <w:sz w:val="24"/>
          <w:szCs w:val="24"/>
        </w:rPr>
        <w:t xml:space="preserve"> during this period</w:t>
      </w:r>
      <w:r w:rsidR="00E04A5A">
        <w:rPr>
          <w:rFonts w:ascii="Times New Roman" w:hAnsi="Times New Roman" w:cs="Times New Roman"/>
          <w:sz w:val="24"/>
          <w:szCs w:val="24"/>
        </w:rPr>
        <w:t>.</w:t>
      </w:r>
    </w:p>
    <w:p w:rsidR="00BE726F" w:rsidRDefault="00BE726F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0">
        <w:rPr>
          <w:rFonts w:ascii="Times New Roman" w:hAnsi="Times New Roman" w:cs="Times New Roman"/>
          <w:b/>
          <w:i/>
          <w:sz w:val="24"/>
          <w:szCs w:val="24"/>
        </w:rPr>
        <w:t>Summary tables by size</w:t>
      </w:r>
      <w:r w:rsidR="001C1EF0">
        <w:rPr>
          <w:rFonts w:ascii="Times New Roman" w:hAnsi="Times New Roman" w:cs="Times New Roman"/>
          <w:sz w:val="24"/>
          <w:szCs w:val="24"/>
        </w:rPr>
        <w:t xml:space="preserve"> (see </w:t>
      </w:r>
      <w:r w:rsidR="001C1EF0" w:rsidRPr="00A92D20">
        <w:rPr>
          <w:rFonts w:ascii="Times New Roman" w:hAnsi="Times New Roman" w:cs="Times New Roman"/>
          <w:i/>
          <w:sz w:val="24"/>
          <w:szCs w:val="24"/>
        </w:rPr>
        <w:t>Table 2</w:t>
      </w:r>
      <w:r w:rsidR="001C1EF0">
        <w:rPr>
          <w:rFonts w:ascii="Times New Roman" w:hAnsi="Times New Roman" w:cs="Times New Roman"/>
          <w:sz w:val="24"/>
          <w:szCs w:val="24"/>
        </w:rPr>
        <w:t xml:space="preserve">): </w:t>
      </w:r>
      <w:r w:rsidR="00C1792D">
        <w:rPr>
          <w:rFonts w:ascii="Times New Roman" w:hAnsi="Times New Roman" w:cs="Times New Roman"/>
          <w:sz w:val="24"/>
          <w:szCs w:val="24"/>
        </w:rPr>
        <w:t xml:space="preserve">the tables </w:t>
      </w:r>
      <w:r w:rsidR="00C1792D" w:rsidRPr="00C1792D">
        <w:rPr>
          <w:rFonts w:ascii="Times New Roman" w:hAnsi="Times New Roman" w:cs="Times New Roman"/>
          <w:sz w:val="24"/>
          <w:szCs w:val="24"/>
        </w:rPr>
        <w:t xml:space="preserve">present an analysis of </w:t>
      </w:r>
      <w:r w:rsidR="008528B7">
        <w:rPr>
          <w:rFonts w:ascii="Times New Roman" w:hAnsi="Times New Roman" w:cs="Times New Roman"/>
          <w:sz w:val="24"/>
          <w:szCs w:val="24"/>
        </w:rPr>
        <w:t xml:space="preserve">Cambridge-based companies </w:t>
      </w:r>
      <w:r w:rsidR="00C1792D" w:rsidRPr="00C1792D">
        <w:rPr>
          <w:rFonts w:ascii="Times New Roman" w:hAnsi="Times New Roman" w:cs="Times New Roman"/>
          <w:sz w:val="24"/>
          <w:szCs w:val="24"/>
        </w:rPr>
        <w:t xml:space="preserve">by </w:t>
      </w:r>
      <w:r w:rsidR="008528B7">
        <w:rPr>
          <w:rFonts w:ascii="Times New Roman" w:hAnsi="Times New Roman" w:cs="Times New Roman"/>
          <w:sz w:val="24"/>
          <w:szCs w:val="24"/>
        </w:rPr>
        <w:t>their</w:t>
      </w:r>
      <w:r w:rsidR="00C1792D" w:rsidRPr="00C1792D">
        <w:rPr>
          <w:rFonts w:ascii="Times New Roman" w:hAnsi="Times New Roman" w:cs="Times New Roman"/>
          <w:sz w:val="24"/>
          <w:szCs w:val="24"/>
        </w:rPr>
        <w:t xml:space="preserve"> size</w:t>
      </w:r>
      <w:r w:rsidR="008528B7">
        <w:rPr>
          <w:rFonts w:ascii="Times New Roman" w:hAnsi="Times New Roman" w:cs="Times New Roman"/>
          <w:sz w:val="24"/>
          <w:szCs w:val="24"/>
        </w:rPr>
        <w:t xml:space="preserve">, distinguishing between micro, small, medium-sized and large companies. View these tables to identify which groups of companies are driving </w:t>
      </w:r>
      <w:r w:rsidR="004F03D5">
        <w:rPr>
          <w:rFonts w:ascii="Times New Roman" w:hAnsi="Times New Roman" w:cs="Times New Roman"/>
          <w:sz w:val="24"/>
          <w:szCs w:val="24"/>
        </w:rPr>
        <w:t>overall</w:t>
      </w:r>
      <w:r w:rsidR="008528B7">
        <w:rPr>
          <w:rFonts w:ascii="Times New Roman" w:hAnsi="Times New Roman" w:cs="Times New Roman"/>
          <w:sz w:val="24"/>
          <w:szCs w:val="24"/>
        </w:rPr>
        <w:t xml:space="preserve"> turnover and employment growth in the region.</w:t>
      </w:r>
    </w:p>
    <w:p w:rsidR="00BE726F" w:rsidRDefault="00BE726F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0">
        <w:rPr>
          <w:rFonts w:ascii="Times New Roman" w:hAnsi="Times New Roman" w:cs="Times New Roman"/>
          <w:b/>
          <w:i/>
          <w:sz w:val="24"/>
          <w:szCs w:val="24"/>
        </w:rPr>
        <w:t>Data for non-corporate research institutions</w:t>
      </w:r>
      <w:r w:rsidR="001C1EF0">
        <w:rPr>
          <w:rFonts w:ascii="Times New Roman" w:hAnsi="Times New Roman" w:cs="Times New Roman"/>
          <w:sz w:val="24"/>
          <w:szCs w:val="24"/>
        </w:rPr>
        <w:t xml:space="preserve"> (see </w:t>
      </w:r>
      <w:r w:rsidR="001C1EF0" w:rsidRPr="00A92D20">
        <w:rPr>
          <w:rFonts w:ascii="Times New Roman" w:hAnsi="Times New Roman" w:cs="Times New Roman"/>
          <w:i/>
          <w:sz w:val="24"/>
          <w:szCs w:val="24"/>
        </w:rPr>
        <w:t>Table 3</w:t>
      </w:r>
      <w:r w:rsidR="001C1EF0">
        <w:rPr>
          <w:rFonts w:ascii="Times New Roman" w:hAnsi="Times New Roman" w:cs="Times New Roman"/>
          <w:sz w:val="24"/>
          <w:szCs w:val="24"/>
        </w:rPr>
        <w:t xml:space="preserve">): </w:t>
      </w:r>
      <w:r w:rsidR="008607AB">
        <w:rPr>
          <w:rFonts w:ascii="Times New Roman" w:hAnsi="Times New Roman" w:cs="Times New Roman"/>
          <w:sz w:val="24"/>
          <w:szCs w:val="24"/>
        </w:rPr>
        <w:t>the</w:t>
      </w:r>
      <w:r w:rsidR="008607AB" w:rsidRPr="008607AB">
        <w:rPr>
          <w:rFonts w:ascii="Times New Roman" w:hAnsi="Times New Roman" w:cs="Times New Roman"/>
          <w:sz w:val="24"/>
          <w:szCs w:val="24"/>
        </w:rPr>
        <w:t xml:space="preserve"> table </w:t>
      </w:r>
      <w:r w:rsidR="008607AB">
        <w:rPr>
          <w:rFonts w:ascii="Times New Roman" w:hAnsi="Times New Roman" w:cs="Times New Roman"/>
          <w:sz w:val="24"/>
          <w:szCs w:val="24"/>
        </w:rPr>
        <w:t xml:space="preserve">provides location and employment data for </w:t>
      </w:r>
      <w:r w:rsidR="008607AB" w:rsidRPr="008607AB">
        <w:rPr>
          <w:rFonts w:ascii="Times New Roman" w:hAnsi="Times New Roman" w:cs="Times New Roman"/>
          <w:sz w:val="24"/>
          <w:szCs w:val="24"/>
        </w:rPr>
        <w:t xml:space="preserve">non-corporate </w:t>
      </w:r>
      <w:r w:rsidR="008607AB">
        <w:rPr>
          <w:rFonts w:ascii="Times New Roman" w:hAnsi="Times New Roman" w:cs="Times New Roman"/>
          <w:sz w:val="24"/>
          <w:szCs w:val="24"/>
        </w:rPr>
        <w:t>KI</w:t>
      </w:r>
      <w:r w:rsidR="008607AB" w:rsidRPr="008607AB">
        <w:rPr>
          <w:rFonts w:ascii="Times New Roman" w:hAnsi="Times New Roman" w:cs="Times New Roman"/>
          <w:sz w:val="24"/>
          <w:szCs w:val="24"/>
        </w:rPr>
        <w:t xml:space="preserve"> research organisations </w:t>
      </w:r>
      <w:r w:rsidR="008607AB">
        <w:rPr>
          <w:rFonts w:ascii="Times New Roman" w:hAnsi="Times New Roman" w:cs="Times New Roman"/>
          <w:sz w:val="24"/>
          <w:szCs w:val="24"/>
        </w:rPr>
        <w:t>in the region between</w:t>
      </w:r>
      <w:r w:rsidR="008607AB" w:rsidRPr="008607AB">
        <w:rPr>
          <w:rFonts w:ascii="Times New Roman" w:hAnsi="Times New Roman" w:cs="Times New Roman"/>
          <w:sz w:val="24"/>
          <w:szCs w:val="24"/>
        </w:rPr>
        <w:t xml:space="preserve"> 2012-13 </w:t>
      </w:r>
      <w:r w:rsidR="008607AB">
        <w:rPr>
          <w:rFonts w:ascii="Times New Roman" w:hAnsi="Times New Roman" w:cs="Times New Roman"/>
          <w:sz w:val="24"/>
          <w:szCs w:val="24"/>
        </w:rPr>
        <w:t>and</w:t>
      </w:r>
      <w:r w:rsidR="008607AB" w:rsidRPr="008607AB">
        <w:rPr>
          <w:rFonts w:ascii="Times New Roman" w:hAnsi="Times New Roman" w:cs="Times New Roman"/>
          <w:sz w:val="24"/>
          <w:szCs w:val="24"/>
        </w:rPr>
        <w:t xml:space="preserve"> 2018-19</w:t>
      </w:r>
      <w:r w:rsidR="008607AB">
        <w:rPr>
          <w:rFonts w:ascii="Times New Roman" w:hAnsi="Times New Roman" w:cs="Times New Roman"/>
          <w:sz w:val="24"/>
          <w:szCs w:val="24"/>
        </w:rPr>
        <w:t xml:space="preserve">. View this table to identify the largest non-corporate employers </w:t>
      </w:r>
      <w:r w:rsidR="004360A6">
        <w:rPr>
          <w:rFonts w:ascii="Times New Roman" w:hAnsi="Times New Roman" w:cs="Times New Roman"/>
          <w:sz w:val="24"/>
          <w:szCs w:val="24"/>
        </w:rPr>
        <w:t xml:space="preserve">in the area </w:t>
      </w:r>
      <w:r w:rsidR="008607AB">
        <w:rPr>
          <w:rFonts w:ascii="Times New Roman" w:hAnsi="Times New Roman" w:cs="Times New Roman"/>
          <w:sz w:val="24"/>
          <w:szCs w:val="24"/>
        </w:rPr>
        <w:t xml:space="preserve">and their contribution to </w:t>
      </w:r>
      <w:r w:rsidR="004F03D5">
        <w:rPr>
          <w:rFonts w:ascii="Times New Roman" w:hAnsi="Times New Roman" w:cs="Times New Roman"/>
          <w:sz w:val="24"/>
          <w:szCs w:val="24"/>
        </w:rPr>
        <w:t xml:space="preserve">overall </w:t>
      </w:r>
      <w:r w:rsidR="008607AB">
        <w:rPr>
          <w:rFonts w:ascii="Times New Roman" w:hAnsi="Times New Roman" w:cs="Times New Roman"/>
          <w:sz w:val="24"/>
          <w:szCs w:val="24"/>
        </w:rPr>
        <w:t>employment growth.</w:t>
      </w:r>
    </w:p>
    <w:p w:rsidR="00E04A5A" w:rsidRDefault="0070036B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70036B">
        <w:rPr>
          <w:rFonts w:ascii="Times New Roman" w:hAnsi="Times New Roman" w:cs="Times New Roman"/>
          <w:b/>
          <w:i/>
          <w:sz w:val="24"/>
          <w:szCs w:val="24"/>
        </w:rPr>
        <w:t>Summary tables by districts</w:t>
      </w:r>
      <w:r>
        <w:rPr>
          <w:rFonts w:ascii="Times New Roman" w:hAnsi="Times New Roman" w:cs="Times New Roman"/>
          <w:sz w:val="24"/>
          <w:szCs w:val="24"/>
        </w:rPr>
        <w:t xml:space="preserve"> (see </w:t>
      </w:r>
      <w:r w:rsidRPr="0070036B">
        <w:rPr>
          <w:rFonts w:ascii="Times New Roman" w:hAnsi="Times New Roman" w:cs="Times New Roman"/>
          <w:i/>
          <w:sz w:val="24"/>
          <w:szCs w:val="24"/>
        </w:rPr>
        <w:t>Table 4</w:t>
      </w:r>
      <w:r>
        <w:rPr>
          <w:rFonts w:ascii="Times New Roman" w:hAnsi="Times New Roman" w:cs="Times New Roman"/>
          <w:sz w:val="24"/>
          <w:szCs w:val="24"/>
        </w:rPr>
        <w:t xml:space="preserve">): the tables </w:t>
      </w:r>
      <w:r w:rsidR="00E04A5A">
        <w:rPr>
          <w:rFonts w:ascii="Times New Roman" w:hAnsi="Times New Roman" w:cs="Times New Roman"/>
          <w:sz w:val="24"/>
          <w:szCs w:val="24"/>
        </w:rPr>
        <w:t xml:space="preserve">offer a </w:t>
      </w:r>
      <w:r w:rsidR="00E04A5A" w:rsidRPr="00E04A5A">
        <w:rPr>
          <w:rFonts w:ascii="Times New Roman" w:hAnsi="Times New Roman" w:cs="Times New Roman"/>
          <w:sz w:val="24"/>
          <w:szCs w:val="24"/>
        </w:rPr>
        <w:t xml:space="preserve">summary </w:t>
      </w:r>
      <w:r w:rsidR="00E04A5A">
        <w:rPr>
          <w:rFonts w:ascii="Times New Roman" w:hAnsi="Times New Roman" w:cs="Times New Roman"/>
          <w:sz w:val="24"/>
          <w:szCs w:val="24"/>
        </w:rPr>
        <w:t xml:space="preserve">of the </w:t>
      </w:r>
      <w:r w:rsidR="00E04A5A" w:rsidRPr="00E04A5A">
        <w:rPr>
          <w:rFonts w:ascii="Times New Roman" w:hAnsi="Times New Roman" w:cs="Times New Roman"/>
          <w:sz w:val="24"/>
          <w:szCs w:val="24"/>
        </w:rPr>
        <w:t xml:space="preserve">sectoral composition, global turnover and global employment of the six districts that </w:t>
      </w:r>
      <w:r w:rsidR="00E04A5A">
        <w:rPr>
          <w:rFonts w:ascii="Times New Roman" w:hAnsi="Times New Roman" w:cs="Times New Roman"/>
          <w:sz w:val="24"/>
          <w:szCs w:val="24"/>
        </w:rPr>
        <w:t>make up</w:t>
      </w:r>
      <w:r w:rsidR="00E04A5A" w:rsidRPr="00E04A5A">
        <w:rPr>
          <w:rFonts w:ascii="Times New Roman" w:hAnsi="Times New Roman" w:cs="Times New Roman"/>
          <w:sz w:val="24"/>
          <w:szCs w:val="24"/>
        </w:rPr>
        <w:t xml:space="preserve"> the Combined Authority</w:t>
      </w:r>
      <w:r w:rsidR="00E04A5A">
        <w:rPr>
          <w:rFonts w:ascii="Times New Roman" w:hAnsi="Times New Roman" w:cs="Times New Roman"/>
          <w:sz w:val="24"/>
          <w:szCs w:val="24"/>
        </w:rPr>
        <w:t xml:space="preserve"> area</w:t>
      </w:r>
      <w:r w:rsidR="00E04A5A" w:rsidRPr="00E04A5A">
        <w:rPr>
          <w:rFonts w:ascii="Times New Roman" w:hAnsi="Times New Roman" w:cs="Times New Roman"/>
          <w:sz w:val="24"/>
          <w:szCs w:val="24"/>
        </w:rPr>
        <w:t xml:space="preserve">, </w:t>
      </w:r>
      <w:r w:rsidR="00E04A5A">
        <w:rPr>
          <w:rFonts w:ascii="Times New Roman" w:hAnsi="Times New Roman" w:cs="Times New Roman"/>
          <w:sz w:val="24"/>
          <w:szCs w:val="24"/>
        </w:rPr>
        <w:t>as well as</w:t>
      </w:r>
      <w:r w:rsidR="00E04A5A" w:rsidRPr="00E04A5A">
        <w:rPr>
          <w:rFonts w:ascii="Times New Roman" w:hAnsi="Times New Roman" w:cs="Times New Roman"/>
          <w:sz w:val="24"/>
          <w:szCs w:val="24"/>
        </w:rPr>
        <w:t xml:space="preserve"> the changes in these </w:t>
      </w:r>
      <w:r w:rsidR="00E04A5A">
        <w:rPr>
          <w:rFonts w:ascii="Times New Roman" w:hAnsi="Times New Roman" w:cs="Times New Roman"/>
          <w:sz w:val="24"/>
          <w:szCs w:val="24"/>
        </w:rPr>
        <w:t>from</w:t>
      </w:r>
      <w:r w:rsidR="00E04A5A" w:rsidRPr="00E04A5A">
        <w:rPr>
          <w:rFonts w:ascii="Times New Roman" w:hAnsi="Times New Roman" w:cs="Times New Roman"/>
          <w:sz w:val="24"/>
          <w:szCs w:val="24"/>
        </w:rPr>
        <w:t xml:space="preserve"> 2012-13 to 2018-19</w:t>
      </w:r>
      <w:r w:rsidR="00E04A5A">
        <w:rPr>
          <w:rFonts w:ascii="Times New Roman" w:hAnsi="Times New Roman" w:cs="Times New Roman"/>
          <w:sz w:val="24"/>
          <w:szCs w:val="24"/>
        </w:rPr>
        <w:t>. View these tables to examine the relative size of each district and their performance over time.</w:t>
      </w:r>
    </w:p>
    <w:p w:rsidR="0070036B" w:rsidRDefault="00E04A5A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04A5A">
        <w:rPr>
          <w:rFonts w:ascii="Times New Roman" w:hAnsi="Times New Roman" w:cs="Times New Roman"/>
          <w:sz w:val="24"/>
          <w:szCs w:val="24"/>
        </w:rPr>
        <w:t>he summary tables by sectors</w:t>
      </w:r>
      <w:r>
        <w:rPr>
          <w:rFonts w:ascii="Times New Roman" w:hAnsi="Times New Roman" w:cs="Times New Roman"/>
          <w:sz w:val="24"/>
          <w:szCs w:val="24"/>
        </w:rPr>
        <w:t>, size and districts</w:t>
      </w:r>
      <w:r w:rsidRPr="00E04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described above </w:t>
      </w:r>
      <w:r w:rsidRPr="00E04A5A">
        <w:rPr>
          <w:rFonts w:ascii="Times New Roman" w:hAnsi="Times New Roman" w:cs="Times New Roman"/>
          <w:sz w:val="24"/>
          <w:szCs w:val="24"/>
        </w:rPr>
        <w:t xml:space="preserve">do not </w:t>
      </w:r>
      <w:r w:rsidR="004360A6">
        <w:rPr>
          <w:rFonts w:ascii="Times New Roman" w:hAnsi="Times New Roman" w:cs="Times New Roman"/>
          <w:sz w:val="24"/>
          <w:szCs w:val="24"/>
        </w:rPr>
        <w:t xml:space="preserve">take into </w:t>
      </w:r>
      <w:r w:rsidRPr="00E04A5A">
        <w:rPr>
          <w:rFonts w:ascii="Times New Roman" w:hAnsi="Times New Roman" w:cs="Times New Roman"/>
          <w:sz w:val="24"/>
          <w:szCs w:val="24"/>
        </w:rPr>
        <w:t>account changes in location over time as companies are assigned to their 2018-19 location throughout.</w:t>
      </w:r>
    </w:p>
    <w:p w:rsidR="00BE726F" w:rsidRDefault="00BE726F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0">
        <w:rPr>
          <w:rFonts w:ascii="Times New Roman" w:hAnsi="Times New Roman" w:cs="Times New Roman"/>
          <w:b/>
          <w:i/>
          <w:sz w:val="24"/>
          <w:szCs w:val="24"/>
        </w:rPr>
        <w:t>Summary tables on business demography</w:t>
      </w:r>
      <w:r w:rsidR="001C1EF0">
        <w:rPr>
          <w:rFonts w:ascii="Times New Roman" w:hAnsi="Times New Roman" w:cs="Times New Roman"/>
          <w:sz w:val="24"/>
          <w:szCs w:val="24"/>
        </w:rPr>
        <w:t xml:space="preserve"> (see </w:t>
      </w:r>
      <w:r w:rsidR="008C3FC2">
        <w:rPr>
          <w:rFonts w:ascii="Times New Roman" w:hAnsi="Times New Roman" w:cs="Times New Roman"/>
          <w:i/>
          <w:sz w:val="24"/>
          <w:szCs w:val="24"/>
        </w:rPr>
        <w:t>Table</w:t>
      </w:r>
      <w:r w:rsidR="001C1EF0" w:rsidRPr="00A92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36B">
        <w:rPr>
          <w:rFonts w:ascii="Times New Roman" w:hAnsi="Times New Roman" w:cs="Times New Roman"/>
          <w:i/>
          <w:sz w:val="24"/>
          <w:szCs w:val="24"/>
        </w:rPr>
        <w:t>5</w:t>
      </w:r>
      <w:r w:rsidR="001C1EF0">
        <w:rPr>
          <w:rFonts w:ascii="Times New Roman" w:hAnsi="Times New Roman" w:cs="Times New Roman"/>
          <w:sz w:val="24"/>
          <w:szCs w:val="24"/>
        </w:rPr>
        <w:t xml:space="preserve">): </w:t>
      </w:r>
      <w:r w:rsidR="005032F2">
        <w:rPr>
          <w:rFonts w:ascii="Times New Roman" w:hAnsi="Times New Roman" w:cs="Times New Roman"/>
          <w:sz w:val="24"/>
          <w:szCs w:val="24"/>
        </w:rPr>
        <w:t xml:space="preserve">the tables </w:t>
      </w:r>
      <w:r w:rsidR="009A5AE3">
        <w:rPr>
          <w:rFonts w:ascii="Times New Roman" w:hAnsi="Times New Roman" w:cs="Times New Roman"/>
          <w:sz w:val="24"/>
          <w:szCs w:val="24"/>
        </w:rPr>
        <w:t xml:space="preserve">present details about </w:t>
      </w:r>
      <w:r w:rsidR="009A5AE3" w:rsidRPr="009A5AE3">
        <w:rPr>
          <w:rFonts w:ascii="Times New Roman" w:hAnsi="Times New Roman" w:cs="Times New Roman"/>
          <w:sz w:val="24"/>
          <w:szCs w:val="24"/>
        </w:rPr>
        <w:t xml:space="preserve">continuing </w:t>
      </w:r>
      <w:r w:rsidR="009A5AE3">
        <w:rPr>
          <w:rFonts w:ascii="Times New Roman" w:hAnsi="Times New Roman" w:cs="Times New Roman"/>
          <w:sz w:val="24"/>
          <w:szCs w:val="24"/>
        </w:rPr>
        <w:t>companies</w:t>
      </w:r>
      <w:r w:rsidR="009A5AE3" w:rsidRPr="009A5AE3">
        <w:rPr>
          <w:rFonts w:ascii="Times New Roman" w:hAnsi="Times New Roman" w:cs="Times New Roman"/>
          <w:sz w:val="24"/>
          <w:szCs w:val="24"/>
        </w:rPr>
        <w:t xml:space="preserve"> (i.e. those alive and based in the are</w:t>
      </w:r>
      <w:bookmarkStart w:id="0" w:name="_GoBack"/>
      <w:bookmarkEnd w:id="0"/>
      <w:r w:rsidR="009A5AE3" w:rsidRPr="009A5AE3">
        <w:rPr>
          <w:rFonts w:ascii="Times New Roman" w:hAnsi="Times New Roman" w:cs="Times New Roman"/>
          <w:sz w:val="24"/>
          <w:szCs w:val="24"/>
        </w:rPr>
        <w:t xml:space="preserve">a in the previous </w:t>
      </w:r>
      <w:r w:rsidR="009A5AE3">
        <w:rPr>
          <w:rFonts w:ascii="Times New Roman" w:hAnsi="Times New Roman" w:cs="Times New Roman"/>
          <w:sz w:val="24"/>
          <w:szCs w:val="24"/>
        </w:rPr>
        <w:t>and</w:t>
      </w:r>
      <w:r w:rsidR="009A5AE3" w:rsidRPr="009A5AE3">
        <w:rPr>
          <w:rFonts w:ascii="Times New Roman" w:hAnsi="Times New Roman" w:cs="Times New Roman"/>
          <w:sz w:val="24"/>
          <w:szCs w:val="24"/>
        </w:rPr>
        <w:t xml:space="preserve"> current year)</w:t>
      </w:r>
      <w:r w:rsidR="009A5AE3">
        <w:rPr>
          <w:rFonts w:ascii="Times New Roman" w:hAnsi="Times New Roman" w:cs="Times New Roman"/>
          <w:sz w:val="24"/>
          <w:szCs w:val="24"/>
        </w:rPr>
        <w:t xml:space="preserve">, </w:t>
      </w:r>
      <w:r w:rsidR="009A5AE3" w:rsidRPr="009A5AE3">
        <w:rPr>
          <w:rFonts w:ascii="Times New Roman" w:hAnsi="Times New Roman" w:cs="Times New Roman"/>
          <w:sz w:val="24"/>
          <w:szCs w:val="24"/>
        </w:rPr>
        <w:t>company births and deaths</w:t>
      </w:r>
      <w:r w:rsidR="009A5AE3">
        <w:rPr>
          <w:rFonts w:ascii="Times New Roman" w:hAnsi="Times New Roman" w:cs="Times New Roman"/>
          <w:sz w:val="24"/>
          <w:szCs w:val="24"/>
        </w:rPr>
        <w:t xml:space="preserve">, and </w:t>
      </w:r>
      <w:r w:rsidR="009A5AE3" w:rsidRPr="009A5AE3">
        <w:rPr>
          <w:rFonts w:ascii="Times New Roman" w:hAnsi="Times New Roman" w:cs="Times New Roman"/>
          <w:sz w:val="24"/>
          <w:szCs w:val="24"/>
        </w:rPr>
        <w:t>movements of companies into and out of the area</w:t>
      </w:r>
      <w:r w:rsidR="009A5AE3">
        <w:rPr>
          <w:rFonts w:ascii="Times New Roman" w:hAnsi="Times New Roman" w:cs="Times New Roman"/>
          <w:sz w:val="24"/>
          <w:szCs w:val="24"/>
        </w:rPr>
        <w:t xml:space="preserve"> between 2011-12 and 2018-19. </w:t>
      </w:r>
      <w:r w:rsidR="008B522E">
        <w:rPr>
          <w:rFonts w:ascii="Times New Roman" w:hAnsi="Times New Roman" w:cs="Times New Roman"/>
          <w:sz w:val="24"/>
          <w:szCs w:val="24"/>
        </w:rPr>
        <w:t>In contrast to</w:t>
      </w:r>
      <w:r w:rsidR="009A5AE3">
        <w:rPr>
          <w:rFonts w:ascii="Times New Roman" w:hAnsi="Times New Roman" w:cs="Times New Roman"/>
          <w:sz w:val="24"/>
          <w:szCs w:val="24"/>
        </w:rPr>
        <w:t xml:space="preserve"> the summary tables by sectors, size and districts</w:t>
      </w:r>
      <w:r w:rsidR="00EA6FB5">
        <w:rPr>
          <w:rFonts w:ascii="Times New Roman" w:hAnsi="Times New Roman" w:cs="Times New Roman"/>
          <w:sz w:val="24"/>
          <w:szCs w:val="24"/>
        </w:rPr>
        <w:t xml:space="preserve"> described above</w:t>
      </w:r>
      <w:r w:rsidR="009A5AE3">
        <w:rPr>
          <w:rFonts w:ascii="Times New Roman" w:hAnsi="Times New Roman" w:cs="Times New Roman"/>
          <w:sz w:val="24"/>
          <w:szCs w:val="24"/>
        </w:rPr>
        <w:t xml:space="preserve">, the analyses on business demography </w:t>
      </w:r>
      <w:r w:rsidR="00EA6FB5">
        <w:rPr>
          <w:rFonts w:ascii="Times New Roman" w:hAnsi="Times New Roman" w:cs="Times New Roman"/>
          <w:sz w:val="24"/>
          <w:szCs w:val="24"/>
        </w:rPr>
        <w:t xml:space="preserve">account for changes in location </w:t>
      </w:r>
      <w:r w:rsidR="00342363">
        <w:rPr>
          <w:rFonts w:ascii="Times New Roman" w:hAnsi="Times New Roman" w:cs="Times New Roman"/>
          <w:sz w:val="24"/>
          <w:szCs w:val="24"/>
        </w:rPr>
        <w:t xml:space="preserve">over time </w:t>
      </w:r>
      <w:r w:rsidR="00EA6FB5">
        <w:rPr>
          <w:rFonts w:ascii="Times New Roman" w:hAnsi="Times New Roman" w:cs="Times New Roman"/>
          <w:sz w:val="24"/>
          <w:szCs w:val="24"/>
        </w:rPr>
        <w:t>as well as for company births/deaths and movements in/out of the area.</w:t>
      </w:r>
    </w:p>
    <w:p w:rsidR="003E771D" w:rsidRPr="00BE726F" w:rsidRDefault="008B522E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Alongside</w:t>
      </w:r>
      <w:r w:rsidR="00EA6FB5">
        <w:rPr>
          <w:rFonts w:ascii="Times New Roman" w:hAnsi="Times New Roman" w:cs="Times New Roman"/>
          <w:sz w:val="24"/>
          <w:szCs w:val="24"/>
        </w:rPr>
        <w:t xml:space="preserve"> these materials</w:t>
      </w:r>
      <w:r w:rsidR="001C1EF0">
        <w:rPr>
          <w:rFonts w:ascii="Times New Roman" w:hAnsi="Times New Roman" w:cs="Times New Roman"/>
          <w:sz w:val="24"/>
          <w:szCs w:val="24"/>
        </w:rPr>
        <w:t xml:space="preserve">, you can find more details about the methodology underpinning the CBR corporate database in the </w:t>
      </w:r>
      <w:r w:rsidR="001C1EF0" w:rsidRPr="004360A6">
        <w:rPr>
          <w:rFonts w:ascii="Times New Roman" w:hAnsi="Times New Roman" w:cs="Times New Roman"/>
          <w:i/>
          <w:sz w:val="24"/>
          <w:szCs w:val="24"/>
        </w:rPr>
        <w:t>CBR database methodology</w:t>
      </w:r>
      <w:r w:rsidR="001C1EF0">
        <w:rPr>
          <w:rFonts w:ascii="Times New Roman" w:hAnsi="Times New Roman" w:cs="Times New Roman"/>
          <w:sz w:val="24"/>
          <w:szCs w:val="24"/>
        </w:rPr>
        <w:t xml:space="preserve"> document.</w:t>
      </w:r>
    </w:p>
    <w:p w:rsidR="00A43A51" w:rsidRPr="00BE726F" w:rsidRDefault="00A43A51" w:rsidP="001C1EF0">
      <w:pPr>
        <w:jc w:val="both"/>
        <w:rPr>
          <w:rFonts w:ascii="Times New Roman" w:hAnsi="Times New Roman" w:cs="Times New Roman"/>
          <w:sz w:val="24"/>
          <w:szCs w:val="24"/>
        </w:rPr>
      </w:pPr>
      <w:r w:rsidRPr="00BE726F">
        <w:rPr>
          <w:rFonts w:ascii="Times New Roman" w:hAnsi="Times New Roman" w:cs="Times New Roman"/>
          <w:sz w:val="24"/>
          <w:szCs w:val="24"/>
        </w:rPr>
        <w:t xml:space="preserve">If you have any questions on our data or analyses, please feel free to email us at </w:t>
      </w:r>
      <w:hyperlink r:id="rId6" w:history="1">
        <w:r w:rsidR="003E771D" w:rsidRPr="00BE726F">
          <w:rPr>
            <w:rStyle w:val="Hyperlink"/>
            <w:rFonts w:ascii="Times New Roman" w:hAnsi="Times New Roman" w:cs="Times New Roman"/>
            <w:sz w:val="24"/>
            <w:szCs w:val="24"/>
          </w:rPr>
          <w:t>adc1@cam.ac.uk</w:t>
        </w:r>
      </w:hyperlink>
      <w:r w:rsidR="003E771D" w:rsidRPr="00BE726F">
        <w:rPr>
          <w:rFonts w:ascii="Times New Roman" w:hAnsi="Times New Roman" w:cs="Times New Roman"/>
          <w:sz w:val="24"/>
          <w:szCs w:val="24"/>
        </w:rPr>
        <w:t xml:space="preserve"> (Andy Cosh) or </w:t>
      </w:r>
      <w:hyperlink r:id="rId7" w:history="1">
        <w:r w:rsidR="003E771D" w:rsidRPr="00BE726F">
          <w:rPr>
            <w:rStyle w:val="Hyperlink"/>
            <w:rFonts w:ascii="Times New Roman" w:hAnsi="Times New Roman" w:cs="Times New Roman"/>
            <w:sz w:val="24"/>
            <w:szCs w:val="24"/>
          </w:rPr>
          <w:t>g.caselli@cbr.cam.ac.uk</w:t>
        </w:r>
      </w:hyperlink>
      <w:r w:rsidR="003E771D" w:rsidRPr="00BE726F">
        <w:rPr>
          <w:rFonts w:ascii="Times New Roman" w:hAnsi="Times New Roman" w:cs="Times New Roman"/>
          <w:sz w:val="24"/>
          <w:szCs w:val="24"/>
        </w:rPr>
        <w:t xml:space="preserve"> (Giorgio Caselli).</w:t>
      </w:r>
    </w:p>
    <w:sectPr w:rsidR="00A43A51" w:rsidRPr="00BE72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8C" w:rsidRDefault="00497C8C" w:rsidP="00A43A51">
      <w:pPr>
        <w:spacing w:after="0" w:line="240" w:lineRule="auto"/>
      </w:pPr>
      <w:r>
        <w:separator/>
      </w:r>
    </w:p>
  </w:endnote>
  <w:endnote w:type="continuationSeparator" w:id="0">
    <w:p w:rsidR="00497C8C" w:rsidRDefault="00497C8C" w:rsidP="00A4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403451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6FB5" w:rsidRPr="00EA6FB5" w:rsidRDefault="00EA6FB5">
        <w:pPr>
          <w:pStyle w:val="Footer"/>
          <w:jc w:val="center"/>
          <w:rPr>
            <w:rFonts w:ascii="Times New Roman" w:hAnsi="Times New Roman" w:cs="Times New Roman"/>
          </w:rPr>
        </w:pPr>
        <w:r w:rsidRPr="00EA6FB5">
          <w:rPr>
            <w:rFonts w:ascii="Times New Roman" w:hAnsi="Times New Roman" w:cs="Times New Roman"/>
          </w:rPr>
          <w:fldChar w:fldCharType="begin"/>
        </w:r>
        <w:r w:rsidRPr="00EA6FB5">
          <w:rPr>
            <w:rFonts w:ascii="Times New Roman" w:hAnsi="Times New Roman" w:cs="Times New Roman"/>
          </w:rPr>
          <w:instrText xml:space="preserve"> PAGE   \* MERGEFORMAT </w:instrText>
        </w:r>
        <w:r w:rsidRPr="00EA6FB5">
          <w:rPr>
            <w:rFonts w:ascii="Times New Roman" w:hAnsi="Times New Roman" w:cs="Times New Roman"/>
          </w:rPr>
          <w:fldChar w:fldCharType="separate"/>
        </w:r>
        <w:r w:rsidR="008C3FC2">
          <w:rPr>
            <w:rFonts w:ascii="Times New Roman" w:hAnsi="Times New Roman" w:cs="Times New Roman"/>
            <w:noProof/>
          </w:rPr>
          <w:t>1</w:t>
        </w:r>
        <w:r w:rsidRPr="00EA6FB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A6FB5" w:rsidRPr="00EA6FB5" w:rsidRDefault="00EA6FB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8C" w:rsidRDefault="00497C8C" w:rsidP="00A43A51">
      <w:pPr>
        <w:spacing w:after="0" w:line="240" w:lineRule="auto"/>
      </w:pPr>
      <w:r>
        <w:separator/>
      </w:r>
    </w:p>
  </w:footnote>
  <w:footnote w:type="continuationSeparator" w:id="0">
    <w:p w:rsidR="00497C8C" w:rsidRDefault="00497C8C" w:rsidP="00A4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1" w:rsidRPr="00A43A51" w:rsidRDefault="00A43A51" w:rsidP="00A43A51">
    <w:pPr>
      <w:pStyle w:val="Header"/>
      <w:jc w:val="right"/>
      <w:rPr>
        <w:rFonts w:ascii="Times New Roman" w:hAnsi="Times New Roman" w:cs="Times New Roman"/>
      </w:rPr>
    </w:pPr>
    <w:r w:rsidRPr="00A43A51">
      <w:rPr>
        <w:rFonts w:ascii="Times New Roman" w:hAnsi="Times New Roman" w:cs="Times New Roman"/>
        <w:noProof/>
        <w:color w:val="4B6893"/>
        <w:sz w:val="21"/>
        <w:szCs w:val="21"/>
        <w:lang w:eastAsia="en-GB"/>
      </w:rPr>
      <w:drawing>
        <wp:inline distT="0" distB="0" distL="0" distR="0" wp14:anchorId="15D67643" wp14:editId="5F83A747">
          <wp:extent cx="619125" cy="539389"/>
          <wp:effectExtent l="0" t="0" r="0" b="0"/>
          <wp:docPr id="1" name="Picture 1" descr="Centre for Business Research logo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for Business Research logo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24" cy="53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FD"/>
    <w:rsid w:val="00015577"/>
    <w:rsid w:val="000B2055"/>
    <w:rsid w:val="00136314"/>
    <w:rsid w:val="001C1EF0"/>
    <w:rsid w:val="001D21F9"/>
    <w:rsid w:val="00342363"/>
    <w:rsid w:val="00365349"/>
    <w:rsid w:val="0039526B"/>
    <w:rsid w:val="003E771D"/>
    <w:rsid w:val="004360A6"/>
    <w:rsid w:val="00497C8C"/>
    <w:rsid w:val="004B402D"/>
    <w:rsid w:val="004F03D5"/>
    <w:rsid w:val="005032F2"/>
    <w:rsid w:val="0070036B"/>
    <w:rsid w:val="00701EE5"/>
    <w:rsid w:val="008528B7"/>
    <w:rsid w:val="008607AB"/>
    <w:rsid w:val="00867516"/>
    <w:rsid w:val="008B522E"/>
    <w:rsid w:val="008C3FC2"/>
    <w:rsid w:val="008C51CC"/>
    <w:rsid w:val="00913E59"/>
    <w:rsid w:val="009A5AE3"/>
    <w:rsid w:val="009E5FDF"/>
    <w:rsid w:val="00A43A51"/>
    <w:rsid w:val="00A92D20"/>
    <w:rsid w:val="00B43C37"/>
    <w:rsid w:val="00BE726F"/>
    <w:rsid w:val="00C1792D"/>
    <w:rsid w:val="00DA3EA9"/>
    <w:rsid w:val="00E04A5A"/>
    <w:rsid w:val="00E40EFD"/>
    <w:rsid w:val="00EA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8170"/>
  <w15:docId w15:val="{E253187A-92D9-4D8A-BDC1-B5F098A7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A51"/>
  </w:style>
  <w:style w:type="paragraph" w:styleId="Footer">
    <w:name w:val="footer"/>
    <w:basedOn w:val="Normal"/>
    <w:link w:val="FooterChar"/>
    <w:uiPriority w:val="99"/>
    <w:unhideWhenUsed/>
    <w:rsid w:val="00A4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51"/>
  </w:style>
  <w:style w:type="character" w:styleId="Hyperlink">
    <w:name w:val="Hyperlink"/>
    <w:basedOn w:val="DefaultParagraphFont"/>
    <w:uiPriority w:val="99"/>
    <w:unhideWhenUsed/>
    <w:rsid w:val="003E77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.caselli@cbr.c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c1@cam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cambridgeahead.co.uk/wp-content/uploads/2016/02/Centre-for-Business-Research-logo-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Judge Business School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Caselli</dc:creator>
  <cp:lastModifiedBy>Giorgio Caselli</cp:lastModifiedBy>
  <cp:revision>4</cp:revision>
  <dcterms:created xsi:type="dcterms:W3CDTF">2020-03-13T16:00:00Z</dcterms:created>
  <dcterms:modified xsi:type="dcterms:W3CDTF">2020-03-13T17:07:00Z</dcterms:modified>
</cp:coreProperties>
</file>