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61" w:rsidRPr="00B80469" w:rsidRDefault="00805CE0" w:rsidP="00805CE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80469">
        <w:rPr>
          <w:b/>
          <w:sz w:val="28"/>
          <w:szCs w:val="28"/>
        </w:rPr>
        <w:t>Corporate sectors – Executive summary</w:t>
      </w:r>
    </w:p>
    <w:p w:rsidR="001D7ED6" w:rsidRDefault="00805CE0" w:rsidP="001D7ED6">
      <w:r w:rsidRPr="00B80469">
        <w:t xml:space="preserve">This report aims at assessing the specialness of the six </w:t>
      </w:r>
      <w:r w:rsidR="005924C1" w:rsidRPr="00B80469">
        <w:t>districts</w:t>
      </w:r>
      <w:r w:rsidRPr="00B80469">
        <w:t xml:space="preserve"> that make up the Combined Authority. </w:t>
      </w:r>
      <w:r w:rsidR="00046AA3">
        <w:t>To this purpose, s</w:t>
      </w:r>
      <w:r w:rsidR="001D7ED6">
        <w:t>pecialness is gauged by examining a number of key features characterising the corporate sectors in these districts, namely:</w:t>
      </w:r>
    </w:p>
    <w:p w:rsidR="001D7ED6" w:rsidRDefault="001D7ED6" w:rsidP="001D7ED6">
      <w:pPr>
        <w:pStyle w:val="ListParagraph"/>
        <w:numPr>
          <w:ilvl w:val="0"/>
          <w:numId w:val="4"/>
        </w:numPr>
      </w:pPr>
      <w:r>
        <w:t xml:space="preserve">The sectors </w:t>
      </w:r>
      <w:r w:rsidR="00046AA3">
        <w:t>where particular concentration exists with respect to employment and turnover.</w:t>
      </w:r>
    </w:p>
    <w:p w:rsidR="00046AA3" w:rsidRDefault="00046AA3" w:rsidP="001D7ED6">
      <w:pPr>
        <w:pStyle w:val="ListParagraph"/>
        <w:numPr>
          <w:ilvl w:val="0"/>
          <w:numId w:val="4"/>
        </w:numPr>
      </w:pPr>
      <w:r>
        <w:t xml:space="preserve">The key sectors that </w:t>
      </w:r>
      <w:r w:rsidR="00895367">
        <w:t>drive</w:t>
      </w:r>
      <w:r>
        <w:t xml:space="preserve"> employment and turnover growth in the district.</w:t>
      </w:r>
    </w:p>
    <w:p w:rsidR="00046AA3" w:rsidRDefault="00046AA3" w:rsidP="001D7ED6">
      <w:pPr>
        <w:pStyle w:val="ListParagraph"/>
        <w:numPr>
          <w:ilvl w:val="0"/>
          <w:numId w:val="4"/>
        </w:numPr>
      </w:pPr>
      <w:r>
        <w:t>The relative contribution of different groups of firms (i.e. micro firms, SMEs and large firms) to employment and turnover (as well as their growth) in the district.</w:t>
      </w:r>
    </w:p>
    <w:p w:rsidR="00046AA3" w:rsidRDefault="00046AA3" w:rsidP="001D7ED6">
      <w:pPr>
        <w:pStyle w:val="ListParagraph"/>
        <w:numPr>
          <w:ilvl w:val="0"/>
          <w:numId w:val="4"/>
        </w:numPr>
      </w:pPr>
      <w:r>
        <w:t>The key players that are either based or active in the district and the sectors in which they operate.</w:t>
      </w:r>
    </w:p>
    <w:p w:rsidR="00805CE0" w:rsidRDefault="00046AA3">
      <w:r>
        <w:t>T</w:t>
      </w:r>
      <w:r w:rsidR="007467FE" w:rsidRPr="00B80469">
        <w:t xml:space="preserve">his report is structured by district and </w:t>
      </w:r>
      <w:r w:rsidR="005924C1" w:rsidRPr="00B80469">
        <w:t>provides an analysis of</w:t>
      </w:r>
      <w:r w:rsidR="007467FE" w:rsidRPr="00B80469">
        <w:t xml:space="preserve"> the key sectors, the distribution of </w:t>
      </w:r>
      <w:r w:rsidR="00951EBA" w:rsidRPr="00B80469">
        <w:t>employment and turnover</w:t>
      </w:r>
      <w:r w:rsidR="007467FE" w:rsidRPr="00B80469">
        <w:t xml:space="preserve"> </w:t>
      </w:r>
      <w:r w:rsidR="005924C1" w:rsidRPr="00B80469">
        <w:t>by firm size,</w:t>
      </w:r>
      <w:r w:rsidR="007467FE" w:rsidRPr="00B80469">
        <w:t xml:space="preserve"> the largest </w:t>
      </w:r>
      <w:r w:rsidR="005924C1" w:rsidRPr="00B80469">
        <w:t>companies</w:t>
      </w:r>
      <w:r w:rsidR="007467FE" w:rsidRPr="00B80469">
        <w:t xml:space="preserve"> </w:t>
      </w:r>
      <w:r w:rsidR="00F80BC3" w:rsidRPr="00B80469">
        <w:t xml:space="preserve">that </w:t>
      </w:r>
      <w:r>
        <w:t>operate</w:t>
      </w:r>
      <w:r w:rsidR="00F80BC3" w:rsidRPr="00B80469">
        <w:t xml:space="preserve"> </w:t>
      </w:r>
      <w:r w:rsidR="007467FE" w:rsidRPr="00B80469">
        <w:t xml:space="preserve">in each </w:t>
      </w:r>
      <w:r w:rsidR="005924C1" w:rsidRPr="00B80469">
        <w:t xml:space="preserve">district </w:t>
      </w:r>
      <w:r w:rsidR="00F80BC3" w:rsidRPr="00B80469">
        <w:t>as well as</w:t>
      </w:r>
      <w:r w:rsidR="005924C1" w:rsidRPr="00B80469">
        <w:t xml:space="preserve"> the main differences with BRES data</w:t>
      </w:r>
      <w:r w:rsidR="007467FE" w:rsidRPr="00B80469">
        <w:t xml:space="preserve">. The detailed reports for the individual districts are available </w:t>
      </w:r>
      <w:r w:rsidR="005924C1" w:rsidRPr="00B80469">
        <w:t>as separate documents</w:t>
      </w:r>
      <w:r w:rsidR="007467FE" w:rsidRPr="00B80469">
        <w:t>. All data refer to Cambridge Ahead data produced by Dr Andy Cosh at the Centre for Business Research unless otherwise indicated.</w:t>
      </w:r>
    </w:p>
    <w:p w:rsidR="007467FE" w:rsidRPr="00B80469" w:rsidRDefault="007467FE">
      <w:r w:rsidRPr="00B80469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67FE" w:rsidRPr="00B80469" w:rsidTr="007467FE">
        <w:tc>
          <w:tcPr>
            <w:tcW w:w="9016" w:type="dxa"/>
          </w:tcPr>
          <w:p w:rsidR="007467FE" w:rsidRPr="00B80469" w:rsidRDefault="007467FE" w:rsidP="005924C1">
            <w:pPr>
              <w:spacing w:before="120" w:after="120"/>
            </w:pPr>
            <w:r w:rsidRPr="00B80469">
              <w:rPr>
                <w:b/>
                <w:sz w:val="24"/>
                <w:szCs w:val="24"/>
              </w:rPr>
              <w:lastRenderedPageBreak/>
              <w:t>Cambridge</w:t>
            </w:r>
          </w:p>
        </w:tc>
      </w:tr>
      <w:tr w:rsidR="007467FE" w:rsidRPr="00B80469" w:rsidTr="007467FE">
        <w:tc>
          <w:tcPr>
            <w:tcW w:w="9016" w:type="dxa"/>
          </w:tcPr>
          <w:p w:rsidR="007467FE" w:rsidRPr="00B80469" w:rsidRDefault="007467FE" w:rsidP="005924C1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Key sectors</w:t>
            </w:r>
          </w:p>
        </w:tc>
      </w:tr>
      <w:tr w:rsidR="007467FE" w:rsidRPr="00B80469" w:rsidTr="007467FE">
        <w:tc>
          <w:tcPr>
            <w:tcW w:w="9016" w:type="dxa"/>
          </w:tcPr>
          <w:p w:rsidR="005924C1" w:rsidRPr="00B80469" w:rsidRDefault="00F647BF" w:rsidP="005924C1">
            <w:pPr>
              <w:pStyle w:val="ListParagraph"/>
              <w:numPr>
                <w:ilvl w:val="0"/>
                <w:numId w:val="2"/>
              </w:numPr>
            </w:pPr>
            <w:r w:rsidRPr="00B80469">
              <w:t xml:space="preserve">Cambridge contributes </w:t>
            </w:r>
            <w:r w:rsidR="00182473" w:rsidRPr="00B80469">
              <w:t>16</w:t>
            </w:r>
            <w:r w:rsidRPr="00B80469">
              <w:t>.</w:t>
            </w:r>
            <w:r w:rsidR="00182473" w:rsidRPr="00B80469">
              <w:t>1</w:t>
            </w:r>
            <w:r w:rsidRPr="00B80469">
              <w:t>% of total employment and 15.</w:t>
            </w:r>
            <w:r w:rsidR="00182473" w:rsidRPr="00B80469">
              <w:t>7</w:t>
            </w:r>
            <w:r w:rsidRPr="00B80469">
              <w:t>% of total turnover in the Combined Authority.</w:t>
            </w:r>
          </w:p>
          <w:p w:rsidR="00F647BF" w:rsidRPr="00B80469" w:rsidRDefault="00F647BF" w:rsidP="00F647BF">
            <w:pPr>
              <w:pStyle w:val="ListParagraph"/>
              <w:numPr>
                <w:ilvl w:val="0"/>
                <w:numId w:val="2"/>
              </w:numPr>
            </w:pPr>
            <w:r w:rsidRPr="00B80469">
              <w:t>The largest share of employment is found in the Information Technology and Telecoms sector (22.</w:t>
            </w:r>
            <w:r w:rsidR="00182473" w:rsidRPr="00B80469">
              <w:t>6</w:t>
            </w:r>
            <w:r w:rsidRPr="00B80469">
              <w:t>% of total employment in Cambridge and 44.</w:t>
            </w:r>
            <w:r w:rsidR="00182473" w:rsidRPr="00B80469">
              <w:t>4</w:t>
            </w:r>
            <w:r w:rsidRPr="00B80469">
              <w:t>% of total employment in the sector for the Combined Authority).</w:t>
            </w:r>
          </w:p>
          <w:p w:rsidR="00F647BF" w:rsidRPr="00B80469" w:rsidRDefault="00F647BF" w:rsidP="00F647BF">
            <w:pPr>
              <w:pStyle w:val="ListParagraph"/>
              <w:numPr>
                <w:ilvl w:val="0"/>
                <w:numId w:val="2"/>
              </w:numPr>
            </w:pPr>
            <w:r w:rsidRPr="00B80469">
              <w:t>KI sectors constitute 3</w:t>
            </w:r>
            <w:r w:rsidR="00182473" w:rsidRPr="00B80469">
              <w:t>7</w:t>
            </w:r>
            <w:r w:rsidRPr="00B80469">
              <w:t>.</w:t>
            </w:r>
            <w:r w:rsidR="00182473" w:rsidRPr="00B80469">
              <w:t>8</w:t>
            </w:r>
            <w:r w:rsidRPr="00B80469">
              <w:t xml:space="preserve">% of total employment in the area, </w:t>
            </w:r>
            <w:r w:rsidR="003E75BE" w:rsidRPr="00B80469">
              <w:t>the second highest figure after South Cambridgeshire (4</w:t>
            </w:r>
            <w:r w:rsidR="00866FAC" w:rsidRPr="00B80469">
              <w:t>4</w:t>
            </w:r>
            <w:r w:rsidR="003E75BE" w:rsidRPr="00B80469">
              <w:t>.</w:t>
            </w:r>
            <w:r w:rsidR="00866FAC" w:rsidRPr="00B80469">
              <w:t>6</w:t>
            </w:r>
            <w:r w:rsidR="003E75BE" w:rsidRPr="00B80469">
              <w:t xml:space="preserve">%) and </w:t>
            </w:r>
            <w:r w:rsidRPr="00B80469">
              <w:t>well above the Combined Authority (2</w:t>
            </w:r>
            <w:r w:rsidR="00182473" w:rsidRPr="00B80469">
              <w:t>6</w:t>
            </w:r>
            <w:r w:rsidRPr="00B80469">
              <w:t>.</w:t>
            </w:r>
            <w:r w:rsidR="00182473" w:rsidRPr="00B80469">
              <w:t>4</w:t>
            </w:r>
            <w:r w:rsidRPr="00B80469">
              <w:t>%).</w:t>
            </w:r>
          </w:p>
          <w:p w:rsidR="00F647BF" w:rsidRPr="00B80469" w:rsidRDefault="00F647BF" w:rsidP="00F647BF">
            <w:pPr>
              <w:pStyle w:val="ListParagraph"/>
              <w:numPr>
                <w:ilvl w:val="0"/>
                <w:numId w:val="2"/>
              </w:numPr>
            </w:pPr>
            <w:r w:rsidRPr="00B80469">
              <w:t>Significant shares of turnover are observed in Information Technology and Telecoms (31.</w:t>
            </w:r>
            <w:r w:rsidR="00182473" w:rsidRPr="00B80469">
              <w:t>8</w:t>
            </w:r>
            <w:r w:rsidRPr="00B80469">
              <w:t>% and 56.</w:t>
            </w:r>
            <w:r w:rsidR="00182473" w:rsidRPr="00B80469">
              <w:t>3</w:t>
            </w:r>
            <w:r w:rsidRPr="00B80469">
              <w:t>%), High-Tech Manufacturing (20.</w:t>
            </w:r>
            <w:r w:rsidR="00182473" w:rsidRPr="00B80469">
              <w:t>1</w:t>
            </w:r>
            <w:r w:rsidRPr="00B80469">
              <w:t>% and 24.</w:t>
            </w:r>
            <w:r w:rsidR="00182473" w:rsidRPr="00B80469">
              <w:t>2</w:t>
            </w:r>
            <w:r w:rsidRPr="00B80469">
              <w:t>%) and Other Business Services (9.8% and 2</w:t>
            </w:r>
            <w:r w:rsidR="00182473" w:rsidRPr="00B80469">
              <w:t>5</w:t>
            </w:r>
            <w:r w:rsidRPr="00B80469">
              <w:t>.</w:t>
            </w:r>
            <w:r w:rsidR="00182473" w:rsidRPr="00B80469">
              <w:t>1</w:t>
            </w:r>
            <w:r w:rsidRPr="00B80469">
              <w:t>%).</w:t>
            </w:r>
          </w:p>
          <w:p w:rsidR="00F647BF" w:rsidRPr="00B80469" w:rsidRDefault="00F647BF" w:rsidP="00F647BF">
            <w:pPr>
              <w:pStyle w:val="ListParagraph"/>
              <w:numPr>
                <w:ilvl w:val="0"/>
                <w:numId w:val="2"/>
              </w:numPr>
            </w:pPr>
            <w:r w:rsidRPr="00B80469">
              <w:t>There is particular concentration in the KI sectors, especially in Information Technology and Telecoms, and in Knowledge Intensive Services.</w:t>
            </w:r>
          </w:p>
          <w:p w:rsidR="00F647BF" w:rsidRPr="00B80469" w:rsidRDefault="00F647BF" w:rsidP="00F647BF">
            <w:pPr>
              <w:pStyle w:val="ListParagraph"/>
              <w:numPr>
                <w:ilvl w:val="0"/>
                <w:numId w:val="2"/>
              </w:numPr>
            </w:pPr>
            <w:r w:rsidRPr="00B80469">
              <w:t>Six-year employment growth in the district (5.6%) has been lower compared to the Combined Authority (6.</w:t>
            </w:r>
            <w:r w:rsidR="00182473" w:rsidRPr="00B80469">
              <w:t>0</w:t>
            </w:r>
            <w:r w:rsidRPr="00B80469">
              <w:t>%).</w:t>
            </w:r>
          </w:p>
          <w:p w:rsidR="00951EBA" w:rsidRPr="00B80469" w:rsidRDefault="00951EBA" w:rsidP="00951EBA">
            <w:pPr>
              <w:pStyle w:val="ListParagraph"/>
              <w:numPr>
                <w:ilvl w:val="0"/>
                <w:numId w:val="2"/>
              </w:numPr>
            </w:pPr>
            <w:r w:rsidRPr="00B80469">
              <w:t>Employment growth for KI sectors in Cambridge (6.</w:t>
            </w:r>
            <w:r w:rsidR="00182473" w:rsidRPr="00B80469">
              <w:t>8</w:t>
            </w:r>
            <w:r w:rsidRPr="00B80469">
              <w:t>%) has been remarkably higher than that for the Combined Authority (4.9%).</w:t>
            </w:r>
          </w:p>
          <w:p w:rsidR="00951EBA" w:rsidRPr="00B80469" w:rsidRDefault="00951EBA" w:rsidP="00951EBA">
            <w:pPr>
              <w:pStyle w:val="ListParagraph"/>
              <w:numPr>
                <w:ilvl w:val="0"/>
                <w:numId w:val="2"/>
              </w:numPr>
            </w:pPr>
            <w:r w:rsidRPr="00B80469">
              <w:t>Concentration has increased over time in Information Technology and Telecoms, Knowledge Intensive Services, and Life Science and Healthcare.</w:t>
            </w:r>
          </w:p>
        </w:tc>
      </w:tr>
      <w:tr w:rsidR="007467FE" w:rsidRPr="00B80469" w:rsidTr="007467FE">
        <w:tc>
          <w:tcPr>
            <w:tcW w:w="9016" w:type="dxa"/>
          </w:tcPr>
          <w:p w:rsidR="007467FE" w:rsidRPr="00B80469" w:rsidRDefault="007467FE" w:rsidP="00951EB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 xml:space="preserve">Distribution of </w:t>
            </w:r>
            <w:r w:rsidR="00951EBA" w:rsidRPr="00B80469">
              <w:rPr>
                <w:b/>
                <w:i/>
              </w:rPr>
              <w:t>employment and turnover</w:t>
            </w:r>
            <w:r w:rsidR="005924C1" w:rsidRPr="00B80469">
              <w:rPr>
                <w:b/>
                <w:i/>
              </w:rPr>
              <w:t xml:space="preserve"> </w:t>
            </w:r>
            <w:r w:rsidR="00951EBA" w:rsidRPr="00B80469">
              <w:rPr>
                <w:b/>
                <w:i/>
              </w:rPr>
              <w:t>by</w:t>
            </w:r>
            <w:r w:rsidR="005924C1" w:rsidRPr="00B80469">
              <w:rPr>
                <w:b/>
                <w:i/>
              </w:rPr>
              <w:t xml:space="preserve"> firm size</w:t>
            </w:r>
          </w:p>
        </w:tc>
      </w:tr>
      <w:tr w:rsidR="007467FE" w:rsidRPr="00B80469" w:rsidTr="007467FE">
        <w:tc>
          <w:tcPr>
            <w:tcW w:w="9016" w:type="dxa"/>
          </w:tcPr>
          <w:p w:rsidR="007467FE" w:rsidRPr="00B80469" w:rsidRDefault="00951EBA" w:rsidP="00951EBA">
            <w:pPr>
              <w:pStyle w:val="ListParagraph"/>
              <w:numPr>
                <w:ilvl w:val="0"/>
                <w:numId w:val="1"/>
              </w:numPr>
            </w:pPr>
            <w:r w:rsidRPr="00B80469">
              <w:t>SMEs account for the largest share of employment in the district (42.0%), while over a third of employment is at large firms.</w:t>
            </w:r>
          </w:p>
          <w:p w:rsidR="00951EBA" w:rsidRPr="00B80469" w:rsidRDefault="00951EBA" w:rsidP="00951EBA">
            <w:pPr>
              <w:pStyle w:val="ListParagraph"/>
              <w:numPr>
                <w:ilvl w:val="0"/>
                <w:numId w:val="1"/>
              </w:numPr>
            </w:pPr>
            <w:r w:rsidRPr="00B80469">
              <w:t>Half of total turnover in Cambridge is accounted for by large firms, whilst turnover generated by SMEs represents around a third of total turnover in the district.</w:t>
            </w:r>
          </w:p>
          <w:p w:rsidR="00951EBA" w:rsidRPr="00B80469" w:rsidRDefault="00951EBA" w:rsidP="00951EBA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Total employment growth in the </w:t>
            </w:r>
            <w:r w:rsidR="003E1AE5" w:rsidRPr="00B80469">
              <w:t>area</w:t>
            </w:r>
            <w:r w:rsidRPr="00B80469">
              <w:t xml:space="preserve"> appears to be driven by the growth of large firms.</w:t>
            </w:r>
          </w:p>
          <w:p w:rsidR="00951EBA" w:rsidRPr="00B80469" w:rsidRDefault="003E547D" w:rsidP="003E547D">
            <w:pPr>
              <w:pStyle w:val="ListParagraph"/>
              <w:numPr>
                <w:ilvl w:val="0"/>
                <w:numId w:val="1"/>
              </w:numPr>
            </w:pPr>
            <w:r w:rsidRPr="00B80469">
              <w:t>Large firms have witnessed higher growth rates relative to the Combined Authority, particularly during the three years to 2016-17.</w:t>
            </w:r>
          </w:p>
          <w:p w:rsidR="00951EBA" w:rsidRPr="00B80469" w:rsidRDefault="00951EBA" w:rsidP="00951EBA">
            <w:pPr>
              <w:pStyle w:val="ListParagraph"/>
              <w:numPr>
                <w:ilvl w:val="0"/>
                <w:numId w:val="1"/>
              </w:numPr>
            </w:pPr>
            <w:r w:rsidRPr="00B80469">
              <w:t>The fastest rates of growth in turnover are found among firms with more than 250 employees.</w:t>
            </w:r>
          </w:p>
        </w:tc>
      </w:tr>
      <w:tr w:rsidR="007467FE" w:rsidRPr="00B80469" w:rsidTr="007467FE">
        <w:tc>
          <w:tcPr>
            <w:tcW w:w="9016" w:type="dxa"/>
          </w:tcPr>
          <w:p w:rsidR="007467FE" w:rsidRPr="00B80469" w:rsidRDefault="007467FE" w:rsidP="005924C1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Largest companies</w:t>
            </w:r>
          </w:p>
        </w:tc>
      </w:tr>
      <w:tr w:rsidR="007467FE" w:rsidRPr="00B80469" w:rsidTr="007467FE">
        <w:tc>
          <w:tcPr>
            <w:tcW w:w="9016" w:type="dxa"/>
          </w:tcPr>
          <w:p w:rsidR="007467FE" w:rsidRPr="00B80469" w:rsidRDefault="00951EBA" w:rsidP="00EC257E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Some of the largest companies that are </w:t>
            </w:r>
            <w:r w:rsidR="00355FCB" w:rsidRPr="00B80469">
              <w:t>based</w:t>
            </w:r>
            <w:r w:rsidRPr="00B80469">
              <w:t xml:space="preserve"> in Cambridge are found in the KI sectors, namely Information Technology and Telecoms (e.g. </w:t>
            </w:r>
            <w:r w:rsidR="00EC257E" w:rsidRPr="00B80469">
              <w:t xml:space="preserve">Arm Limited and </w:t>
            </w:r>
            <w:proofErr w:type="spellStart"/>
            <w:r w:rsidR="00EC257E" w:rsidRPr="00B80469">
              <w:t>Aveva</w:t>
            </w:r>
            <w:proofErr w:type="spellEnd"/>
            <w:r w:rsidR="00EC257E" w:rsidRPr="00B80469">
              <w:t xml:space="preserve"> Group PLC</w:t>
            </w:r>
            <w:r w:rsidRPr="00B80469">
              <w:t xml:space="preserve">), Life Science and Healthcare (e.g. </w:t>
            </w:r>
            <w:r w:rsidR="00EC257E" w:rsidRPr="00B80469">
              <w:t>Carl Zeiss Ltd</w:t>
            </w:r>
            <w:r w:rsidRPr="00B80469">
              <w:t>)</w:t>
            </w:r>
            <w:r w:rsidR="00EC257E" w:rsidRPr="00B80469">
              <w:t>,</w:t>
            </w:r>
            <w:r w:rsidRPr="00B80469">
              <w:t xml:space="preserve"> and High-Tech Manufacturing </w:t>
            </w:r>
            <w:r w:rsidR="00B6131A" w:rsidRPr="00B80469">
              <w:t>(</w:t>
            </w:r>
            <w:r w:rsidR="00EC257E" w:rsidRPr="00B80469">
              <w:t>Qualcomm Technologies International, Ltd.</w:t>
            </w:r>
            <w:r w:rsidRPr="00B80469">
              <w:t>).</w:t>
            </w:r>
          </w:p>
          <w:p w:rsidR="00355FCB" w:rsidRPr="00B80469" w:rsidRDefault="00355FCB" w:rsidP="00174A72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Key examples of companies that are active in the district include </w:t>
            </w:r>
            <w:proofErr w:type="spellStart"/>
            <w:r w:rsidR="00174A72" w:rsidRPr="00B80469">
              <w:t>Glaxosmithkline</w:t>
            </w:r>
            <w:proofErr w:type="spellEnd"/>
            <w:r w:rsidR="00174A72" w:rsidRPr="00B80469">
              <w:t xml:space="preserve"> PLC and </w:t>
            </w:r>
            <w:proofErr w:type="spellStart"/>
            <w:r w:rsidR="00174A72" w:rsidRPr="00B80469">
              <w:t>Astrazeneca</w:t>
            </w:r>
            <w:proofErr w:type="spellEnd"/>
            <w:r w:rsidR="00174A72" w:rsidRPr="00B80469">
              <w:t xml:space="preserve"> PLC</w:t>
            </w:r>
            <w:r w:rsidRPr="00B80469">
              <w:t xml:space="preserve"> (Life Science and Healthcare) as well as </w:t>
            </w:r>
            <w:r w:rsidR="00174A72" w:rsidRPr="00B80469">
              <w:t>Vodafone Limited and Telefonica UK Limited</w:t>
            </w:r>
            <w:r w:rsidRPr="00B80469">
              <w:t xml:space="preserve"> (Information Technology and Telecoms).</w:t>
            </w:r>
          </w:p>
        </w:tc>
      </w:tr>
      <w:tr w:rsidR="007467FE" w:rsidRPr="00B80469" w:rsidTr="007467FE">
        <w:tc>
          <w:tcPr>
            <w:tcW w:w="9016" w:type="dxa"/>
          </w:tcPr>
          <w:p w:rsidR="007467FE" w:rsidRPr="00B80469" w:rsidRDefault="007467FE" w:rsidP="005924C1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Comparison with BRES</w:t>
            </w:r>
          </w:p>
        </w:tc>
      </w:tr>
      <w:tr w:rsidR="007467FE" w:rsidRPr="00B80469" w:rsidTr="007467FE">
        <w:tc>
          <w:tcPr>
            <w:tcW w:w="9016" w:type="dxa"/>
          </w:tcPr>
          <w:p w:rsidR="009572D4" w:rsidRPr="00B80469" w:rsidRDefault="009572D4" w:rsidP="00E10223">
            <w:pPr>
              <w:pStyle w:val="ListParagraph"/>
              <w:numPr>
                <w:ilvl w:val="0"/>
                <w:numId w:val="1"/>
              </w:numPr>
            </w:pPr>
            <w:r w:rsidRPr="00B80469">
              <w:t>Total employment based on Cambridge Ahead data represents approximately 37% of total BRES employment.</w:t>
            </w:r>
          </w:p>
          <w:p w:rsidR="009572D4" w:rsidRDefault="009572D4" w:rsidP="009572D4">
            <w:pPr>
              <w:pStyle w:val="ListParagraph"/>
              <w:numPr>
                <w:ilvl w:val="0"/>
                <w:numId w:val="1"/>
              </w:numPr>
            </w:pPr>
            <w:r w:rsidRPr="00B80469">
              <w:t>Six-year employment growth is 5.6% based on Cambridge Ahead data and 2.3% according to BRES data.</w:t>
            </w:r>
          </w:p>
          <w:p w:rsidR="00E10223" w:rsidRPr="00B80469" w:rsidRDefault="00E10223" w:rsidP="009572D4">
            <w:pPr>
              <w:pStyle w:val="ListParagraph"/>
              <w:numPr>
                <w:ilvl w:val="0"/>
                <w:numId w:val="1"/>
              </w:numPr>
            </w:pPr>
            <w:r>
              <w:t>Six-year employment growth based on the compromise estimate is 2.4%. This estimate takes the growth rates from Cambridge Ahead data for the first ten sectors and the growth rates from BRES data for the last ten sectors.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</w:pPr>
            <w:r w:rsidRPr="00B80469">
              <w:rPr>
                <w:b/>
                <w:sz w:val="24"/>
                <w:szCs w:val="24"/>
              </w:rPr>
              <w:lastRenderedPageBreak/>
              <w:t>South Cambridgeshire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Key sectors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FD6E42" w:rsidP="00FD6E42">
            <w:pPr>
              <w:pStyle w:val="ListParagraph"/>
              <w:numPr>
                <w:ilvl w:val="0"/>
                <w:numId w:val="2"/>
              </w:numPr>
            </w:pPr>
            <w:r w:rsidRPr="00B80469">
              <w:t>South Cambridgeshire contributes 2</w:t>
            </w:r>
            <w:r w:rsidR="00B92949" w:rsidRPr="00B80469">
              <w:t>4</w:t>
            </w:r>
            <w:r w:rsidRPr="00B80469">
              <w:t>.</w:t>
            </w:r>
            <w:r w:rsidR="00B92949" w:rsidRPr="00B80469">
              <w:t>2</w:t>
            </w:r>
            <w:r w:rsidRPr="00B80469">
              <w:t>% of total employment and 2</w:t>
            </w:r>
            <w:r w:rsidR="00B92949" w:rsidRPr="00B80469">
              <w:t>8</w:t>
            </w:r>
            <w:r w:rsidRPr="00B80469">
              <w:t>.</w:t>
            </w:r>
            <w:r w:rsidR="00B92949" w:rsidRPr="00B80469">
              <w:t>0</w:t>
            </w:r>
            <w:r w:rsidRPr="00B80469">
              <w:t>% of total turnover in the Combined Authority</w:t>
            </w:r>
            <w:r w:rsidR="003E75BE" w:rsidRPr="00B80469">
              <w:t>, the highest contribution in the region</w:t>
            </w:r>
            <w:r w:rsidRPr="00B80469">
              <w:t>.</w:t>
            </w:r>
          </w:p>
          <w:p w:rsidR="00FD6E42" w:rsidRPr="00B80469" w:rsidRDefault="00FD6E42" w:rsidP="00FD6E42">
            <w:pPr>
              <w:pStyle w:val="ListParagraph"/>
              <w:numPr>
                <w:ilvl w:val="0"/>
                <w:numId w:val="2"/>
              </w:numPr>
            </w:pPr>
            <w:r w:rsidRPr="00B80469">
              <w:t>The largest sector in terms of employment is given by Life Science and Healthcare (1</w:t>
            </w:r>
            <w:r w:rsidR="00B92949" w:rsidRPr="00B80469">
              <w:t>7</w:t>
            </w:r>
            <w:r w:rsidRPr="00B80469">
              <w:t>.</w:t>
            </w:r>
            <w:r w:rsidR="00B92949" w:rsidRPr="00B80469">
              <w:t>5</w:t>
            </w:r>
            <w:r w:rsidRPr="00B80469">
              <w:t xml:space="preserve">% of total employment in the district and </w:t>
            </w:r>
            <w:r w:rsidR="00B92949" w:rsidRPr="00B80469">
              <w:t>71</w:t>
            </w:r>
            <w:r w:rsidRPr="00B80469">
              <w:t>.</w:t>
            </w:r>
            <w:r w:rsidR="00B92949" w:rsidRPr="00B80469">
              <w:t>0</w:t>
            </w:r>
            <w:r w:rsidRPr="00B80469">
              <w:t>% of total employment in the sector for the Combined Authority).</w:t>
            </w:r>
          </w:p>
          <w:p w:rsidR="00FD6E42" w:rsidRPr="00B80469" w:rsidRDefault="00FD6E42" w:rsidP="00B92949">
            <w:pPr>
              <w:pStyle w:val="ListParagraph"/>
              <w:numPr>
                <w:ilvl w:val="0"/>
                <w:numId w:val="2"/>
              </w:numPr>
            </w:pPr>
            <w:r w:rsidRPr="00B80469">
              <w:t>Particularly high is employment in Biotechnology R&amp;D (</w:t>
            </w:r>
            <w:r w:rsidR="00B92949" w:rsidRPr="00B80469">
              <w:t>7,044</w:t>
            </w:r>
            <w:r w:rsidRPr="00B80469">
              <w:t>) and in High-Tech Manufacturing – Life Sciences (</w:t>
            </w:r>
            <w:r w:rsidR="00B92949" w:rsidRPr="00B80469">
              <w:t>2,193</w:t>
            </w:r>
            <w:r w:rsidRPr="00B80469">
              <w:t>).</w:t>
            </w:r>
          </w:p>
          <w:p w:rsidR="00FD6E42" w:rsidRPr="00B80469" w:rsidRDefault="00FD6E42" w:rsidP="00D27277">
            <w:pPr>
              <w:pStyle w:val="ListParagraph"/>
              <w:numPr>
                <w:ilvl w:val="0"/>
                <w:numId w:val="2"/>
              </w:numPr>
            </w:pPr>
            <w:r w:rsidRPr="00B80469">
              <w:t>Among non-KI sectors, employment is high in the Wholesale and Retail Distribution sector (</w:t>
            </w:r>
            <w:r w:rsidR="00D27277" w:rsidRPr="00B80469">
              <w:t>12.4% and 28.5%</w:t>
            </w:r>
            <w:r w:rsidRPr="00B80469">
              <w:t>).</w:t>
            </w:r>
          </w:p>
          <w:p w:rsidR="00FD6E42" w:rsidRPr="00B80469" w:rsidRDefault="00FD6E42" w:rsidP="00FD6E42">
            <w:pPr>
              <w:pStyle w:val="ListParagraph"/>
              <w:numPr>
                <w:ilvl w:val="0"/>
                <w:numId w:val="2"/>
              </w:numPr>
            </w:pPr>
            <w:r w:rsidRPr="00B80469">
              <w:t>Turnover in the Life Science and Healthcare sector in South Cambridgeshire alone accounts for over 70% of total turnover in the sector for the Combined Authority.</w:t>
            </w:r>
          </w:p>
          <w:p w:rsidR="00FD6E42" w:rsidRPr="00B80469" w:rsidRDefault="00FD6E42" w:rsidP="00FD6E42">
            <w:pPr>
              <w:pStyle w:val="ListParagraph"/>
              <w:numPr>
                <w:ilvl w:val="0"/>
                <w:numId w:val="2"/>
              </w:numPr>
            </w:pPr>
            <w:r w:rsidRPr="00B80469">
              <w:t>During the six years to 2016-17, total employment growth (7.</w:t>
            </w:r>
            <w:r w:rsidR="00D27277" w:rsidRPr="00B80469">
              <w:t>4</w:t>
            </w:r>
            <w:r w:rsidRPr="00B80469">
              <w:t xml:space="preserve">%) </w:t>
            </w:r>
            <w:r w:rsidR="00ED5207" w:rsidRPr="00B80469">
              <w:t xml:space="preserve">has been </w:t>
            </w:r>
            <w:r w:rsidR="00866FAC" w:rsidRPr="00B80469">
              <w:t xml:space="preserve">greater than that for the Combined Authority (6.0%) and </w:t>
            </w:r>
            <w:r w:rsidR="00ED5207" w:rsidRPr="00B80469">
              <w:t xml:space="preserve">the highest </w:t>
            </w:r>
            <w:r w:rsidR="00866FAC" w:rsidRPr="00B80469">
              <w:t>in the region</w:t>
            </w:r>
            <w:r w:rsidRPr="00B80469">
              <w:t>.</w:t>
            </w:r>
          </w:p>
          <w:p w:rsidR="00FD6E42" w:rsidRPr="00B80469" w:rsidRDefault="00FD6E42" w:rsidP="00FD6E42">
            <w:pPr>
              <w:pStyle w:val="ListParagraph"/>
              <w:numPr>
                <w:ilvl w:val="0"/>
                <w:numId w:val="2"/>
              </w:numPr>
            </w:pPr>
            <w:r w:rsidRPr="00B80469">
              <w:t>The fastest growing KI sector based on employment is Information Technology and Telecoms (8.</w:t>
            </w:r>
            <w:r w:rsidR="00D27277" w:rsidRPr="00B80469">
              <w:t>4</w:t>
            </w:r>
            <w:r w:rsidRPr="00B80469">
              <w:t>%).</w:t>
            </w:r>
          </w:p>
          <w:p w:rsidR="00FD6E42" w:rsidRPr="00B80469" w:rsidRDefault="00EF1AEB" w:rsidP="00FD6E42">
            <w:pPr>
              <w:pStyle w:val="ListParagraph"/>
              <w:numPr>
                <w:ilvl w:val="0"/>
                <w:numId w:val="2"/>
              </w:numPr>
            </w:pPr>
            <w:r w:rsidRPr="00B80469">
              <w:t>Growth in turnover has been particularly high in Information Technology and Telecoms (10.</w:t>
            </w:r>
            <w:r w:rsidR="00D27277" w:rsidRPr="00B80469">
              <w:t>8</w:t>
            </w:r>
            <w:r w:rsidRPr="00B80469">
              <w:t>%)</w:t>
            </w:r>
            <w:r w:rsidR="00D27277" w:rsidRPr="00B80469">
              <w:t>,</w:t>
            </w:r>
            <w:r w:rsidRPr="00B80469">
              <w:t xml:space="preserve"> and Life Science and Healthcare (10.</w:t>
            </w:r>
            <w:r w:rsidR="003C22B7" w:rsidRPr="00B80469">
              <w:t>0</w:t>
            </w:r>
            <w:r w:rsidRPr="00B80469">
              <w:t>%).</w:t>
            </w:r>
          </w:p>
          <w:p w:rsidR="00EF1AEB" w:rsidRPr="00B80469" w:rsidRDefault="00EF1AEB" w:rsidP="003C22B7">
            <w:pPr>
              <w:pStyle w:val="ListParagraph"/>
              <w:numPr>
                <w:ilvl w:val="0"/>
                <w:numId w:val="2"/>
              </w:numPr>
            </w:pPr>
            <w:r w:rsidRPr="00B80469">
              <w:t>Relative concentration in terms of employment for KI sectors</w:t>
            </w:r>
            <w:r w:rsidR="003C22B7" w:rsidRPr="00B80469">
              <w:t>, although still high,</w:t>
            </w:r>
            <w:r w:rsidRPr="00B80469">
              <w:t xml:space="preserve"> has </w:t>
            </w:r>
            <w:r w:rsidR="003C22B7" w:rsidRPr="00B80469">
              <w:t>slightly</w:t>
            </w:r>
            <w:r w:rsidRPr="00B80469">
              <w:t xml:space="preserve"> </w:t>
            </w:r>
            <w:r w:rsidR="003C22B7" w:rsidRPr="00B80469">
              <w:t>de</w:t>
            </w:r>
            <w:r w:rsidRPr="00B80469">
              <w:t>creased throughout the entire period.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951EBA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Distribution of employment and turnover by firm size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D36FA4" w:rsidP="00D36FA4">
            <w:pPr>
              <w:pStyle w:val="ListParagraph"/>
              <w:numPr>
                <w:ilvl w:val="0"/>
                <w:numId w:val="1"/>
              </w:numPr>
            </w:pPr>
            <w:r w:rsidRPr="00B80469">
              <w:t>Firms with more than 250 employees account for the largest share of employment in South Cambridgeshire (4</w:t>
            </w:r>
            <w:r w:rsidR="00546259" w:rsidRPr="00B80469">
              <w:t>1</w:t>
            </w:r>
            <w:r w:rsidRPr="00B80469">
              <w:t>.8%), while SMEs contribute over one third of total employment.</w:t>
            </w:r>
          </w:p>
          <w:p w:rsidR="00D36FA4" w:rsidRPr="00B80469" w:rsidRDefault="00D36FA4" w:rsidP="00D36FA4">
            <w:pPr>
              <w:pStyle w:val="ListParagraph"/>
              <w:numPr>
                <w:ilvl w:val="0"/>
                <w:numId w:val="1"/>
              </w:numPr>
            </w:pPr>
            <w:r w:rsidRPr="00B80469">
              <w:t>The largest portion of turnover in the district is generated by large firms (4</w:t>
            </w:r>
            <w:r w:rsidR="00546259" w:rsidRPr="00B80469">
              <w:t>9</w:t>
            </w:r>
            <w:r w:rsidRPr="00B80469">
              <w:t>.</w:t>
            </w:r>
            <w:r w:rsidR="00546259" w:rsidRPr="00B80469">
              <w:t>0</w:t>
            </w:r>
            <w:r w:rsidRPr="00B80469">
              <w:t>%), followed by SMEs (33.</w:t>
            </w:r>
            <w:r w:rsidR="00546259" w:rsidRPr="00B80469">
              <w:t>7</w:t>
            </w:r>
            <w:r w:rsidRPr="00B80469">
              <w:t>%) and micro firms (17.</w:t>
            </w:r>
            <w:r w:rsidR="00546259" w:rsidRPr="00B80469">
              <w:t>3</w:t>
            </w:r>
            <w:r w:rsidRPr="00B80469">
              <w:t>%).</w:t>
            </w:r>
          </w:p>
          <w:p w:rsidR="00D36FA4" w:rsidRPr="00B80469" w:rsidRDefault="00D36FA4" w:rsidP="0076185D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The highest six-year employment growth rates in the district are found among </w:t>
            </w:r>
            <w:r w:rsidR="0076185D" w:rsidRPr="00B80469">
              <w:t>SMEs</w:t>
            </w:r>
            <w:r w:rsidRPr="00B80469">
              <w:t xml:space="preserve"> (</w:t>
            </w:r>
            <w:r w:rsidR="0076185D" w:rsidRPr="00B80469">
              <w:t>7.7</w:t>
            </w:r>
            <w:r w:rsidRPr="00B80469">
              <w:t>%)</w:t>
            </w:r>
            <w:r w:rsidR="0076185D" w:rsidRPr="00B80469">
              <w:t>, although their three-year growth rates are well below those for large firms</w:t>
            </w:r>
            <w:r w:rsidRPr="00B80469">
              <w:t>.</w:t>
            </w:r>
          </w:p>
          <w:p w:rsidR="00D36FA4" w:rsidRPr="00B80469" w:rsidRDefault="00D36FA4" w:rsidP="0076185D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Firms with more than 250 employees have seen the largest increase in turnover throughout the </w:t>
            </w:r>
            <w:r w:rsidR="0076185D" w:rsidRPr="00B80469">
              <w:t>three-year window (14.6%)</w:t>
            </w:r>
            <w:r w:rsidRPr="00B80469">
              <w:t>, substantially higher than the Combined Authority (</w:t>
            </w:r>
            <w:r w:rsidR="0076185D" w:rsidRPr="00B80469">
              <w:t>6.4</w:t>
            </w:r>
            <w:r w:rsidRPr="00B80469">
              <w:t>%).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Largest companies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D36FA4" w:rsidP="0076185D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A number of the largest companies based in the district belong to High-Tech Manufacturing (e.g. </w:t>
            </w:r>
            <w:r w:rsidR="0076185D" w:rsidRPr="00B80469">
              <w:t>Marshall of Cambridge (Holdings) Limited and Domino UK Limited</w:t>
            </w:r>
            <w:r w:rsidRPr="00B80469">
              <w:t xml:space="preserve">) and to Life Science and Healthcare (e.g. </w:t>
            </w:r>
            <w:r w:rsidR="0076185D" w:rsidRPr="00B80469">
              <w:t xml:space="preserve">PPD Global Ltd, Genome Research Limited and </w:t>
            </w:r>
            <w:proofErr w:type="spellStart"/>
            <w:r w:rsidR="0076185D" w:rsidRPr="00B80469">
              <w:t>Abcam</w:t>
            </w:r>
            <w:proofErr w:type="spellEnd"/>
            <w:r w:rsidR="0076185D" w:rsidRPr="00B80469">
              <w:t xml:space="preserve"> PLC</w:t>
            </w:r>
            <w:r w:rsidRPr="00B80469">
              <w:t>).</w:t>
            </w:r>
          </w:p>
          <w:p w:rsidR="00D36FA4" w:rsidRPr="00B80469" w:rsidRDefault="00D36FA4" w:rsidP="00372E42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Some of the largest companies that are active in South Cambridgeshire are found in Information Technology and Telecoms (e.g. </w:t>
            </w:r>
            <w:r w:rsidR="00372E42" w:rsidRPr="00B80469">
              <w:t>Sony Interactive Entertainment Europe Limited and IBM United Kingdom Limited</w:t>
            </w:r>
            <w:r w:rsidRPr="00B80469">
              <w:t xml:space="preserve">), Knowledge Intensive Services (e.g. </w:t>
            </w:r>
            <w:r w:rsidR="00372E42" w:rsidRPr="00B80469">
              <w:t>Intertek Group PLC and WS Atkins Limited</w:t>
            </w:r>
            <w:r w:rsidRPr="00B80469">
              <w:t xml:space="preserve">) and High-Tech Manufacturing (e.g. </w:t>
            </w:r>
            <w:proofErr w:type="spellStart"/>
            <w:r w:rsidR="00372E42" w:rsidRPr="00B80469">
              <w:t>Spirax-Sarco</w:t>
            </w:r>
            <w:proofErr w:type="spellEnd"/>
            <w:r w:rsidR="00372E42" w:rsidRPr="00B80469">
              <w:t xml:space="preserve"> Engineering PLC</w:t>
            </w:r>
            <w:r w:rsidRPr="00B80469">
              <w:t>).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Comparison with BRES</w:t>
            </w:r>
          </w:p>
        </w:tc>
      </w:tr>
      <w:tr w:rsidR="00687B8D" w:rsidRPr="00B80469" w:rsidTr="0072635A">
        <w:tc>
          <w:tcPr>
            <w:tcW w:w="9016" w:type="dxa"/>
          </w:tcPr>
          <w:p w:rsidR="008026DE" w:rsidRPr="00B80469" w:rsidRDefault="008026DE" w:rsidP="008026DE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Total employment based on Cambridge Ahead data represents approximately </w:t>
            </w:r>
            <w:r w:rsidR="00077719" w:rsidRPr="00B80469">
              <w:t>71%</w:t>
            </w:r>
            <w:r w:rsidRPr="00B80469">
              <w:t xml:space="preserve"> of total BRES employment.</w:t>
            </w:r>
          </w:p>
          <w:p w:rsidR="00687B8D" w:rsidRDefault="008026DE" w:rsidP="00077719">
            <w:pPr>
              <w:pStyle w:val="ListParagraph"/>
              <w:numPr>
                <w:ilvl w:val="0"/>
                <w:numId w:val="1"/>
              </w:numPr>
            </w:pPr>
            <w:r w:rsidRPr="00B80469">
              <w:t>Six-year employment growth is 7.</w:t>
            </w:r>
            <w:r w:rsidR="00077719" w:rsidRPr="00B80469">
              <w:t>4</w:t>
            </w:r>
            <w:r w:rsidRPr="00B80469">
              <w:t>% based on Cambridge Ahead data and 2.2% according to BRES data</w:t>
            </w:r>
            <w:r w:rsidR="00980D6C" w:rsidRPr="00B80469">
              <w:t>, the largest difference among the six districts</w:t>
            </w:r>
            <w:r w:rsidRPr="00B80469">
              <w:t>.</w:t>
            </w:r>
          </w:p>
          <w:p w:rsidR="00336B16" w:rsidRPr="00B80469" w:rsidRDefault="00336B16" w:rsidP="00336B16">
            <w:pPr>
              <w:pStyle w:val="ListParagraph"/>
              <w:numPr>
                <w:ilvl w:val="0"/>
                <w:numId w:val="1"/>
              </w:numPr>
            </w:pPr>
            <w:r>
              <w:t xml:space="preserve">Six-year employment growth based on the compromise estimate is </w:t>
            </w:r>
            <w:r>
              <w:t>3</w:t>
            </w:r>
            <w:r>
              <w:t>.</w:t>
            </w:r>
            <w:r>
              <w:t>8</w:t>
            </w:r>
            <w:r>
              <w:t>%. This estimate takes the growth rates from Cambridge Ahead data for the first ten sectors and the growth rates from BRES data for the last ten sectors.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</w:pPr>
            <w:r w:rsidRPr="00B80469">
              <w:rPr>
                <w:b/>
                <w:sz w:val="24"/>
                <w:szCs w:val="24"/>
              </w:rPr>
              <w:lastRenderedPageBreak/>
              <w:t>East Cambridgeshire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Key sectors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1E61A8" w:rsidP="0072635A">
            <w:pPr>
              <w:pStyle w:val="ListParagraph"/>
              <w:numPr>
                <w:ilvl w:val="0"/>
                <w:numId w:val="2"/>
              </w:numPr>
            </w:pPr>
            <w:r w:rsidRPr="00B80469">
              <w:t xml:space="preserve">East Cambridgeshire contributes </w:t>
            </w:r>
            <w:r w:rsidR="00345310" w:rsidRPr="00B80469">
              <w:t>10.0</w:t>
            </w:r>
            <w:r w:rsidRPr="00B80469">
              <w:t>% of total employment and 7.</w:t>
            </w:r>
            <w:r w:rsidR="00345310" w:rsidRPr="00B80469">
              <w:t>7</w:t>
            </w:r>
            <w:r w:rsidRPr="00B80469">
              <w:t>% of total turnover in the Combined Authority.</w:t>
            </w:r>
          </w:p>
          <w:p w:rsidR="001E61A8" w:rsidRPr="00B80469" w:rsidRDefault="001E61A8" w:rsidP="001E61A8">
            <w:pPr>
              <w:pStyle w:val="ListParagraph"/>
              <w:numPr>
                <w:ilvl w:val="0"/>
                <w:numId w:val="2"/>
              </w:numPr>
            </w:pPr>
            <w:r w:rsidRPr="00B80469">
              <w:t xml:space="preserve">The largest number of employees are in the Primary sector (25.6% of total employment in the district and </w:t>
            </w:r>
            <w:r w:rsidR="00345310" w:rsidRPr="00B80469">
              <w:t>50.3</w:t>
            </w:r>
            <w:r w:rsidRPr="00B80469">
              <w:t>% of total employment in the sector for the Combined Authority).</w:t>
            </w:r>
          </w:p>
          <w:p w:rsidR="001E61A8" w:rsidRPr="00B80469" w:rsidRDefault="001E61A8" w:rsidP="001E61A8">
            <w:pPr>
              <w:pStyle w:val="ListParagraph"/>
              <w:numPr>
                <w:ilvl w:val="0"/>
                <w:numId w:val="2"/>
              </w:numPr>
            </w:pPr>
            <w:r w:rsidRPr="00B80469">
              <w:t xml:space="preserve">The share of employment in KI sectors (10.5%) is </w:t>
            </w:r>
            <w:r w:rsidR="00727FEA" w:rsidRPr="00B80469">
              <w:t>the second lowest after Fenland (6.</w:t>
            </w:r>
            <w:r w:rsidR="00866FAC" w:rsidRPr="00B80469">
              <w:t>9</w:t>
            </w:r>
            <w:r w:rsidR="00727FEA" w:rsidRPr="00B80469">
              <w:t>%) and well below the average for the Combined Authority (2</w:t>
            </w:r>
            <w:r w:rsidR="00345310" w:rsidRPr="00B80469">
              <w:t>6</w:t>
            </w:r>
            <w:r w:rsidR="00727FEA" w:rsidRPr="00B80469">
              <w:t>.</w:t>
            </w:r>
            <w:r w:rsidR="00345310" w:rsidRPr="00B80469">
              <w:t>4</w:t>
            </w:r>
            <w:r w:rsidR="00727FEA" w:rsidRPr="00B80469">
              <w:t>%)</w:t>
            </w:r>
            <w:r w:rsidRPr="00B80469">
              <w:t>.</w:t>
            </w:r>
          </w:p>
          <w:p w:rsidR="001E61A8" w:rsidRPr="00B80469" w:rsidRDefault="001E61A8" w:rsidP="001E61A8">
            <w:pPr>
              <w:pStyle w:val="ListParagraph"/>
              <w:numPr>
                <w:ilvl w:val="0"/>
                <w:numId w:val="2"/>
              </w:numPr>
            </w:pPr>
            <w:r w:rsidRPr="00B80469">
              <w:t>The greatest shares of turnover are generated in the Primary sector (24.3%) and in the Wholesale and Retail Distribution sector (21.9%).</w:t>
            </w:r>
          </w:p>
          <w:p w:rsidR="001E61A8" w:rsidRPr="00B80469" w:rsidRDefault="001E61A8" w:rsidP="001E61A8">
            <w:pPr>
              <w:pStyle w:val="ListParagraph"/>
              <w:numPr>
                <w:ilvl w:val="0"/>
                <w:numId w:val="2"/>
              </w:numPr>
            </w:pPr>
            <w:r w:rsidRPr="00B80469">
              <w:t>Employment LQs suggest that there is high concentration in the Primary sector, in the Transport and Travel sector, and in the Education, Arts, Charities, Social Care sector.</w:t>
            </w:r>
          </w:p>
          <w:p w:rsidR="001E61A8" w:rsidRPr="00B80469" w:rsidRDefault="001E61A8" w:rsidP="001E61A8">
            <w:pPr>
              <w:pStyle w:val="ListParagraph"/>
              <w:numPr>
                <w:ilvl w:val="0"/>
                <w:numId w:val="2"/>
              </w:numPr>
            </w:pPr>
            <w:r w:rsidRPr="00B80469">
              <w:t>Total employment in East Cambridgeshire has increased at a higher rate compared to the Combined Authority (</w:t>
            </w:r>
            <w:r w:rsidR="001766DC" w:rsidRPr="00B80469">
              <w:t>6.</w:t>
            </w:r>
            <w:r w:rsidR="00345310" w:rsidRPr="00B80469">
              <w:t>7</w:t>
            </w:r>
            <w:r w:rsidR="001766DC" w:rsidRPr="00B80469">
              <w:t>% and 6.</w:t>
            </w:r>
            <w:r w:rsidR="00345310" w:rsidRPr="00B80469">
              <w:t>0</w:t>
            </w:r>
            <w:r w:rsidR="001766DC" w:rsidRPr="00B80469">
              <w:t>%, respectively, for the six-year growth).</w:t>
            </w:r>
          </w:p>
          <w:p w:rsidR="001766DC" w:rsidRPr="00B80469" w:rsidRDefault="001766DC" w:rsidP="001766DC">
            <w:pPr>
              <w:pStyle w:val="ListParagraph"/>
              <w:numPr>
                <w:ilvl w:val="0"/>
                <w:numId w:val="2"/>
              </w:numPr>
            </w:pPr>
            <w:r w:rsidRPr="00B80469">
              <w:t>Employment growth in the Primary sector (6.0%) has witnessed</w:t>
            </w:r>
            <w:r w:rsidR="00B6131A" w:rsidRPr="00B80469">
              <w:t xml:space="preserve"> a</w:t>
            </w:r>
            <w:r w:rsidRPr="00B80469">
              <w:t xml:space="preserve"> higher rate relative to the Combined Authority (4.9%).</w:t>
            </w:r>
          </w:p>
          <w:p w:rsidR="001766DC" w:rsidRPr="00B80469" w:rsidRDefault="001766DC" w:rsidP="001766DC">
            <w:pPr>
              <w:pStyle w:val="ListParagraph"/>
              <w:numPr>
                <w:ilvl w:val="0"/>
                <w:numId w:val="2"/>
              </w:numPr>
            </w:pPr>
            <w:r w:rsidRPr="00B80469">
              <w:t>The largest rates of growth in turnover are observed for Education, Arts, Charities, Social Care (32.5%), Other Services (1</w:t>
            </w:r>
            <w:r w:rsidR="00345310" w:rsidRPr="00B80469">
              <w:t>4</w:t>
            </w:r>
            <w:r w:rsidRPr="00B80469">
              <w:t>.</w:t>
            </w:r>
            <w:r w:rsidR="00345310" w:rsidRPr="00B80469">
              <w:t>9</w:t>
            </w:r>
            <w:r w:rsidRPr="00B80469">
              <w:t>%), Construction and Utilities (11.</w:t>
            </w:r>
            <w:r w:rsidR="00345310" w:rsidRPr="00B80469">
              <w:t>5</w:t>
            </w:r>
            <w:r w:rsidRPr="00B80469">
              <w:t>%)</w:t>
            </w:r>
            <w:r w:rsidR="00345310" w:rsidRPr="00B80469">
              <w:t>,</w:t>
            </w:r>
            <w:r w:rsidRPr="00B80469">
              <w:t xml:space="preserve"> and Primary (7.8%).</w:t>
            </w:r>
          </w:p>
          <w:p w:rsidR="001766DC" w:rsidRPr="00B80469" w:rsidRDefault="001766DC" w:rsidP="001766DC">
            <w:pPr>
              <w:pStyle w:val="ListParagraph"/>
              <w:numPr>
                <w:ilvl w:val="0"/>
                <w:numId w:val="2"/>
              </w:numPr>
            </w:pPr>
            <w:r w:rsidRPr="00B80469">
              <w:t>Concentration in terms of employment has increased over time in a number of non-KI sectors, including Education, Arts, Charities, Social Care, Primary and Other Services.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951EBA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Distribution of employment and turnover by firm size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7110A9" w:rsidP="007110A9">
            <w:pPr>
              <w:pStyle w:val="ListParagraph"/>
              <w:numPr>
                <w:ilvl w:val="0"/>
                <w:numId w:val="1"/>
              </w:numPr>
            </w:pPr>
            <w:r w:rsidRPr="00B80469">
              <w:t>Large firms account for over half of total employment in the area, a figure that is considerably higher compared to the Combined Authority (46.</w:t>
            </w:r>
            <w:r w:rsidR="00A525F4" w:rsidRPr="00B80469">
              <w:t>2</w:t>
            </w:r>
            <w:r w:rsidRPr="00B80469">
              <w:t>%).</w:t>
            </w:r>
          </w:p>
          <w:p w:rsidR="007110A9" w:rsidRPr="00B80469" w:rsidRDefault="007110A9" w:rsidP="007110A9">
            <w:pPr>
              <w:pStyle w:val="ListParagraph"/>
              <w:numPr>
                <w:ilvl w:val="0"/>
                <w:numId w:val="1"/>
              </w:numPr>
            </w:pPr>
            <w:r w:rsidRPr="00B80469">
              <w:t>Over 47% of total turnover in the district is generated by the 14 firms with more than 250 employees</w:t>
            </w:r>
            <w:r w:rsidR="00464231" w:rsidRPr="00B80469">
              <w:t xml:space="preserve"> that are based in the area</w:t>
            </w:r>
            <w:r w:rsidRPr="00B80469">
              <w:t>, while SMEs contribute almost a third of total turnover.</w:t>
            </w:r>
          </w:p>
          <w:p w:rsidR="007110A9" w:rsidRPr="00B80469" w:rsidRDefault="005029B4" w:rsidP="005029B4">
            <w:pPr>
              <w:pStyle w:val="ListParagraph"/>
              <w:numPr>
                <w:ilvl w:val="0"/>
                <w:numId w:val="1"/>
              </w:numPr>
            </w:pPr>
            <w:r w:rsidRPr="00B80469">
              <w:t>Employment growth for large firms (7.0% for the six years to 2016-17) appears to be the major driver of total employment growth in the district.</w:t>
            </w:r>
          </w:p>
          <w:p w:rsidR="005029B4" w:rsidRPr="00B80469" w:rsidRDefault="005029B4" w:rsidP="00A525F4">
            <w:pPr>
              <w:pStyle w:val="ListParagraph"/>
              <w:numPr>
                <w:ilvl w:val="0"/>
                <w:numId w:val="1"/>
              </w:numPr>
            </w:pPr>
            <w:r w:rsidRPr="00B80469">
              <w:t>Large firms in East Cambridgeshire have seen greater turnover growth (9.4%) than the average for the entire region (7.</w:t>
            </w:r>
            <w:r w:rsidR="00A525F4" w:rsidRPr="00B80469">
              <w:t>6</w:t>
            </w:r>
            <w:r w:rsidRPr="00B80469">
              <w:t>%).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Largest companies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FF2487" w:rsidP="00A525F4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The largest companies based in the district tend to be concentrated in non-KI sectors, namely Primary (e.g. </w:t>
            </w:r>
            <w:r w:rsidR="00A525F4" w:rsidRPr="00B80469">
              <w:t>G'S Group Holdings Limited</w:t>
            </w:r>
            <w:r w:rsidRPr="00B80469">
              <w:t xml:space="preserve">), Transport and Travel (e.g. </w:t>
            </w:r>
            <w:r w:rsidR="00A525F4" w:rsidRPr="00B80469">
              <w:t>Turners (</w:t>
            </w:r>
            <w:proofErr w:type="spellStart"/>
            <w:r w:rsidR="00A525F4" w:rsidRPr="00B80469">
              <w:t>Soham</w:t>
            </w:r>
            <w:proofErr w:type="spellEnd"/>
            <w:r w:rsidR="00A525F4" w:rsidRPr="00B80469">
              <w:t>) Holdings Limited</w:t>
            </w:r>
            <w:r w:rsidRPr="00B80469">
              <w:t>)</w:t>
            </w:r>
            <w:r w:rsidR="00A525F4" w:rsidRPr="00B80469">
              <w:t>,</w:t>
            </w:r>
            <w:r w:rsidRPr="00B80469">
              <w:t xml:space="preserve"> </w:t>
            </w:r>
            <w:r w:rsidR="00A525F4" w:rsidRPr="00B80469">
              <w:t xml:space="preserve">Manufacturing (e.g. Elliott Group Limited), and Wholesale and Retail Distribution (e.g. George </w:t>
            </w:r>
            <w:proofErr w:type="spellStart"/>
            <w:r w:rsidR="00A525F4" w:rsidRPr="00B80469">
              <w:t>Thurlow</w:t>
            </w:r>
            <w:proofErr w:type="spellEnd"/>
            <w:r w:rsidR="00A525F4" w:rsidRPr="00B80469">
              <w:t xml:space="preserve"> </w:t>
            </w:r>
            <w:proofErr w:type="gramStart"/>
            <w:r w:rsidR="00A525F4" w:rsidRPr="00B80469">
              <w:t>And</w:t>
            </w:r>
            <w:proofErr w:type="gramEnd"/>
            <w:r w:rsidR="00A525F4" w:rsidRPr="00B80469">
              <w:t xml:space="preserve"> Sons (Holdings) Limited)</w:t>
            </w:r>
            <w:r w:rsidRPr="00B80469">
              <w:t>.</w:t>
            </w:r>
          </w:p>
          <w:p w:rsidR="00FF2487" w:rsidRPr="00B80469" w:rsidRDefault="00FF2487" w:rsidP="004A6C23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Among the key sectors in terms of active companies are </w:t>
            </w:r>
            <w:r w:rsidR="004A6C23" w:rsidRPr="00B80469">
              <w:t>Manufacturing (e.g. Wittington Investments Limited), Wholesale and Retail Distribution (e.g. Volkswagen Group United Kingdom Limited and DS Smith PLC), and Construction and Utilities (e.g. European Metal Recycling Limited)</w:t>
            </w:r>
            <w:r w:rsidRPr="00B80469">
              <w:t>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Comparison with BRES</w:t>
            </w:r>
          </w:p>
        </w:tc>
      </w:tr>
      <w:tr w:rsidR="00687B8D" w:rsidRPr="00B80469" w:rsidTr="0072635A">
        <w:tc>
          <w:tcPr>
            <w:tcW w:w="9016" w:type="dxa"/>
          </w:tcPr>
          <w:p w:rsidR="00FF2487" w:rsidRPr="00B80469" w:rsidRDefault="00FF2487" w:rsidP="00FF2487">
            <w:pPr>
              <w:pStyle w:val="ListParagraph"/>
              <w:numPr>
                <w:ilvl w:val="0"/>
                <w:numId w:val="1"/>
              </w:numPr>
            </w:pPr>
            <w:r w:rsidRPr="00B80469">
              <w:t>Total employment based on Cambridge Ahead data represents around 75% of total BRES employment</w:t>
            </w:r>
            <w:r w:rsidR="00F31C1B" w:rsidRPr="00B80469">
              <w:t>, the highest value among the six districts</w:t>
            </w:r>
            <w:r w:rsidRPr="00B80469">
              <w:t>.</w:t>
            </w:r>
          </w:p>
          <w:p w:rsidR="00687B8D" w:rsidRDefault="00FF2487" w:rsidP="00857C3F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Six-year employment growth is </w:t>
            </w:r>
            <w:r w:rsidR="0029274A" w:rsidRPr="00B80469">
              <w:t>6.</w:t>
            </w:r>
            <w:r w:rsidR="00857C3F" w:rsidRPr="00B80469">
              <w:t>7</w:t>
            </w:r>
            <w:r w:rsidRPr="00B80469">
              <w:t xml:space="preserve">% based on Cambridge Ahead data and </w:t>
            </w:r>
            <w:r w:rsidR="0029274A" w:rsidRPr="00B80469">
              <w:t>3.8</w:t>
            </w:r>
            <w:r w:rsidRPr="00B80469">
              <w:t>% according to BRES data.</w:t>
            </w:r>
          </w:p>
          <w:p w:rsidR="00336B16" w:rsidRPr="00B80469" w:rsidRDefault="00336B16" w:rsidP="00336B16">
            <w:pPr>
              <w:pStyle w:val="ListParagraph"/>
              <w:numPr>
                <w:ilvl w:val="0"/>
                <w:numId w:val="1"/>
              </w:numPr>
            </w:pPr>
            <w:r>
              <w:t xml:space="preserve">Six-year employment growth based on the compromise estimate is </w:t>
            </w:r>
            <w:r>
              <w:t>4.3</w:t>
            </w:r>
            <w:r>
              <w:t>%. This estimate takes the growth rates from Cambridge Ahead data for the first ten sectors and the growth rates from BRES data for the last ten sectors.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</w:pPr>
            <w:r w:rsidRPr="00B80469">
              <w:rPr>
                <w:b/>
                <w:sz w:val="24"/>
                <w:szCs w:val="24"/>
              </w:rPr>
              <w:lastRenderedPageBreak/>
              <w:t>Huntingdonshire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Key sectors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7C1334" w:rsidP="007C1334">
            <w:pPr>
              <w:pStyle w:val="ListParagraph"/>
              <w:numPr>
                <w:ilvl w:val="0"/>
                <w:numId w:val="2"/>
              </w:numPr>
            </w:pPr>
            <w:r w:rsidRPr="00B80469">
              <w:t>Huntingdonshire contributes 20.</w:t>
            </w:r>
            <w:r w:rsidR="005E2D1A" w:rsidRPr="00B80469">
              <w:t>8</w:t>
            </w:r>
            <w:r w:rsidRPr="00B80469">
              <w:t>% of total employment and 19.6% of total turnover in the Combined Authority.</w:t>
            </w:r>
          </w:p>
          <w:p w:rsidR="007C1334" w:rsidRPr="00B80469" w:rsidRDefault="007C1334" w:rsidP="007C1334">
            <w:pPr>
              <w:pStyle w:val="ListParagraph"/>
              <w:numPr>
                <w:ilvl w:val="0"/>
                <w:numId w:val="2"/>
              </w:numPr>
            </w:pPr>
            <w:r w:rsidRPr="00B80469">
              <w:t>The largest sector in terms of employment is Other Business Services (19.</w:t>
            </w:r>
            <w:r w:rsidR="005E2D1A" w:rsidRPr="00B80469">
              <w:t>5</w:t>
            </w:r>
            <w:r w:rsidRPr="00B80469">
              <w:t xml:space="preserve">% of the total for the district and </w:t>
            </w:r>
            <w:r w:rsidR="005E2D1A" w:rsidRPr="00B80469">
              <w:t>34.9</w:t>
            </w:r>
            <w:r w:rsidRPr="00B80469">
              <w:t>% of the total in the sector for the Combined Authority</w:t>
            </w:r>
            <w:r w:rsidR="00036611" w:rsidRPr="00B80469">
              <w:t>).</w:t>
            </w:r>
          </w:p>
          <w:p w:rsidR="007C1334" w:rsidRPr="00B80469" w:rsidRDefault="007C1334" w:rsidP="007C1334">
            <w:pPr>
              <w:pStyle w:val="ListParagraph"/>
              <w:numPr>
                <w:ilvl w:val="0"/>
                <w:numId w:val="2"/>
              </w:numPr>
            </w:pPr>
            <w:r w:rsidRPr="00B80469">
              <w:t>KI sectors account for 17.</w:t>
            </w:r>
            <w:r w:rsidR="005E2D1A" w:rsidRPr="00B80469">
              <w:t>1</w:t>
            </w:r>
            <w:r w:rsidRPr="00B80469">
              <w:t xml:space="preserve">% of total employment in the </w:t>
            </w:r>
            <w:r w:rsidR="0036120F" w:rsidRPr="00B80469">
              <w:t>area</w:t>
            </w:r>
            <w:r w:rsidRPr="00B80469">
              <w:t>, significantly below the average for the Combined Authority (2</w:t>
            </w:r>
            <w:r w:rsidR="005E2D1A" w:rsidRPr="00B80469">
              <w:t>6</w:t>
            </w:r>
            <w:r w:rsidRPr="00B80469">
              <w:t>.</w:t>
            </w:r>
            <w:r w:rsidR="005E2D1A" w:rsidRPr="00B80469">
              <w:t>4</w:t>
            </w:r>
            <w:r w:rsidRPr="00B80469">
              <w:t>%).</w:t>
            </w:r>
          </w:p>
          <w:p w:rsidR="007C1334" w:rsidRPr="00B80469" w:rsidRDefault="007C1334" w:rsidP="007C1334">
            <w:pPr>
              <w:pStyle w:val="ListParagraph"/>
              <w:numPr>
                <w:ilvl w:val="0"/>
                <w:numId w:val="2"/>
              </w:numPr>
            </w:pPr>
            <w:r w:rsidRPr="00B80469">
              <w:t>The largest share of turnover is generated in the Manufacturing sector (23.7%).</w:t>
            </w:r>
          </w:p>
          <w:p w:rsidR="007C1334" w:rsidRPr="00B80469" w:rsidRDefault="00036611" w:rsidP="00036611">
            <w:pPr>
              <w:pStyle w:val="ListParagraph"/>
              <w:numPr>
                <w:ilvl w:val="0"/>
                <w:numId w:val="2"/>
              </w:numPr>
            </w:pPr>
            <w:r w:rsidRPr="00B80469">
              <w:t>There is particular concentration in Construction and Utilities, Manufacturing and Other Business Services.</w:t>
            </w:r>
          </w:p>
          <w:p w:rsidR="00036611" w:rsidRPr="00B80469" w:rsidRDefault="00036611" w:rsidP="00036611">
            <w:pPr>
              <w:pStyle w:val="ListParagraph"/>
              <w:numPr>
                <w:ilvl w:val="0"/>
                <w:numId w:val="2"/>
              </w:numPr>
            </w:pPr>
            <w:r w:rsidRPr="00B80469">
              <w:t>During the six years to 2016-17, Huntingdonshire has witnessed a lower growth rate in total employment (</w:t>
            </w:r>
            <w:r w:rsidR="005E2D1A" w:rsidRPr="00B80469">
              <w:t>4</w:t>
            </w:r>
            <w:r w:rsidRPr="00B80469">
              <w:t>.</w:t>
            </w:r>
            <w:r w:rsidR="005E2D1A" w:rsidRPr="00B80469">
              <w:t>9</w:t>
            </w:r>
            <w:r w:rsidRPr="00B80469">
              <w:t>%) compared to the Combined Authority (6.</w:t>
            </w:r>
            <w:r w:rsidR="005E2D1A" w:rsidRPr="00B80469">
              <w:t>0</w:t>
            </w:r>
            <w:r w:rsidRPr="00B80469">
              <w:t>%).</w:t>
            </w:r>
          </w:p>
          <w:p w:rsidR="00036611" w:rsidRPr="00B80469" w:rsidRDefault="00036611" w:rsidP="00036611">
            <w:pPr>
              <w:pStyle w:val="ListParagraph"/>
              <w:numPr>
                <w:ilvl w:val="0"/>
                <w:numId w:val="2"/>
              </w:numPr>
            </w:pPr>
            <w:r w:rsidRPr="00B80469">
              <w:t>Among the fastest growing sectors based on employment are Education, Arts, Charities, Social Care (17.4%), Other Services (</w:t>
            </w:r>
            <w:r w:rsidR="005E2D1A" w:rsidRPr="00B80469">
              <w:t>9.0</w:t>
            </w:r>
            <w:r w:rsidRPr="00B80469">
              <w:t>%)</w:t>
            </w:r>
            <w:r w:rsidR="005E2D1A" w:rsidRPr="00B80469">
              <w:t>,</w:t>
            </w:r>
            <w:r w:rsidRPr="00B80469">
              <w:t xml:space="preserve"> and Wholesale and Retail Distribution (7.</w:t>
            </w:r>
            <w:r w:rsidR="005E2D1A" w:rsidRPr="00B80469">
              <w:t>7</w:t>
            </w:r>
            <w:r w:rsidRPr="00B80469">
              <w:t>%).</w:t>
            </w:r>
          </w:p>
          <w:p w:rsidR="00036611" w:rsidRPr="00B80469" w:rsidRDefault="00036611" w:rsidP="00036611">
            <w:pPr>
              <w:pStyle w:val="ListParagraph"/>
              <w:numPr>
                <w:ilvl w:val="0"/>
                <w:numId w:val="2"/>
              </w:numPr>
            </w:pPr>
            <w:r w:rsidRPr="00B80469">
              <w:t>Growth in employment for the KI sectors (3.</w:t>
            </w:r>
            <w:r w:rsidR="00E63CBF" w:rsidRPr="00B80469">
              <w:t>0</w:t>
            </w:r>
            <w:r w:rsidRPr="00B80469">
              <w:t>%) has been lower than the average for the Combined Authority (4.9%).</w:t>
            </w:r>
          </w:p>
          <w:p w:rsidR="00036611" w:rsidRPr="00B80469" w:rsidRDefault="00036611" w:rsidP="00036611">
            <w:pPr>
              <w:pStyle w:val="ListParagraph"/>
              <w:numPr>
                <w:ilvl w:val="0"/>
                <w:numId w:val="2"/>
              </w:numPr>
            </w:pPr>
            <w:r w:rsidRPr="00B80469">
              <w:t>The highest growth rates in turnover over the entire period can be seen for Education, Arts, Charities, Social Care (13.4%), Property and Finance (10.</w:t>
            </w:r>
            <w:r w:rsidR="00E63CBF" w:rsidRPr="00B80469">
              <w:t>3</w:t>
            </w:r>
            <w:r w:rsidRPr="00B80469">
              <w:t>%)</w:t>
            </w:r>
            <w:r w:rsidR="00E63CBF" w:rsidRPr="00B80469">
              <w:t>,</w:t>
            </w:r>
            <w:r w:rsidRPr="00B80469">
              <w:t xml:space="preserve"> and </w:t>
            </w:r>
            <w:r w:rsidR="00E63CBF" w:rsidRPr="00B80469">
              <w:t>Transport and Travel</w:t>
            </w:r>
            <w:r w:rsidRPr="00B80469">
              <w:t xml:space="preserve"> (</w:t>
            </w:r>
            <w:r w:rsidR="00E63CBF" w:rsidRPr="00B80469">
              <w:t>8.6</w:t>
            </w:r>
            <w:r w:rsidRPr="00B80469">
              <w:t>%).</w:t>
            </w:r>
          </w:p>
          <w:p w:rsidR="00036611" w:rsidRPr="00B80469" w:rsidRDefault="00036611" w:rsidP="00E63CBF">
            <w:pPr>
              <w:pStyle w:val="ListParagraph"/>
              <w:numPr>
                <w:ilvl w:val="0"/>
                <w:numId w:val="2"/>
              </w:numPr>
            </w:pPr>
            <w:r w:rsidRPr="00B80469">
              <w:t xml:space="preserve">Relative concentration in employment has increased for Manufacturing, </w:t>
            </w:r>
            <w:r w:rsidR="00E63CBF" w:rsidRPr="00B80469">
              <w:t xml:space="preserve">Wholesale and Retail Distribution, </w:t>
            </w:r>
            <w:r w:rsidRPr="00B80469">
              <w:t xml:space="preserve">Education, Arts, Charities, Social Care, and </w:t>
            </w:r>
            <w:r w:rsidR="00E63CBF" w:rsidRPr="00B80469">
              <w:t>Construction and Utilities</w:t>
            </w:r>
            <w:r w:rsidRPr="00B80469">
              <w:t>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951EBA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Distribution of employment and turnover by firm size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BC1D02" w:rsidP="00BC1D02">
            <w:pPr>
              <w:pStyle w:val="ListParagraph"/>
              <w:numPr>
                <w:ilvl w:val="0"/>
                <w:numId w:val="1"/>
              </w:numPr>
            </w:pPr>
            <w:r w:rsidRPr="00B80469">
              <w:t>Large firms contribute the largest share of employment in the district (42.</w:t>
            </w:r>
            <w:r w:rsidR="00783ADD" w:rsidRPr="00B80469">
              <w:t>6</w:t>
            </w:r>
            <w:r w:rsidRPr="00B80469">
              <w:t>%), while employment at SMEs constitutes around one third of total employment.</w:t>
            </w:r>
          </w:p>
          <w:p w:rsidR="00BC1D02" w:rsidRPr="00B80469" w:rsidRDefault="00BC1D02" w:rsidP="00BC1D02">
            <w:pPr>
              <w:pStyle w:val="ListParagraph"/>
              <w:numPr>
                <w:ilvl w:val="0"/>
                <w:numId w:val="1"/>
              </w:numPr>
            </w:pPr>
            <w:r w:rsidRPr="00B80469">
              <w:t>Almost half of total turnover in Huntingdonshire is originated by large firms.</w:t>
            </w:r>
          </w:p>
          <w:p w:rsidR="00BC1D02" w:rsidRPr="00B80469" w:rsidRDefault="00BC1D02" w:rsidP="008938C1">
            <w:pPr>
              <w:pStyle w:val="ListParagraph"/>
              <w:numPr>
                <w:ilvl w:val="0"/>
                <w:numId w:val="1"/>
              </w:numPr>
            </w:pPr>
            <w:r w:rsidRPr="00B80469">
              <w:t>The highest rates of employment growth are reported by SMEs</w:t>
            </w:r>
            <w:r w:rsidR="008938C1" w:rsidRPr="00B80469">
              <w:t xml:space="preserve"> (6.</w:t>
            </w:r>
            <w:r w:rsidR="00783ADD" w:rsidRPr="00B80469">
              <w:t>1</w:t>
            </w:r>
            <w:r w:rsidR="008938C1" w:rsidRPr="00B80469">
              <w:t>% over the entire period), whereas more limited appears to be employment growth among large firms (3.3%).</w:t>
            </w:r>
          </w:p>
          <w:p w:rsidR="008938C1" w:rsidRPr="00B80469" w:rsidRDefault="008938C1" w:rsidP="008938C1">
            <w:pPr>
              <w:pStyle w:val="ListParagraph"/>
              <w:numPr>
                <w:ilvl w:val="0"/>
                <w:numId w:val="1"/>
              </w:numPr>
            </w:pPr>
            <w:r w:rsidRPr="00B80469">
              <w:t>Micro firms have the highest rate of turnover growth in the district (7.</w:t>
            </w:r>
            <w:r w:rsidR="00783ADD" w:rsidRPr="00B80469">
              <w:t>8</w:t>
            </w:r>
            <w:r w:rsidRPr="00B80469">
              <w:t>%)</w:t>
            </w:r>
            <w:r w:rsidR="00140DD1" w:rsidRPr="00B80469">
              <w:t>.</w:t>
            </w:r>
          </w:p>
          <w:p w:rsidR="008938C1" w:rsidRPr="00B80469" w:rsidRDefault="005C5494" w:rsidP="005C5494">
            <w:pPr>
              <w:pStyle w:val="ListParagraph"/>
              <w:numPr>
                <w:ilvl w:val="0"/>
                <w:numId w:val="1"/>
              </w:numPr>
            </w:pPr>
            <w:r w:rsidRPr="00B80469">
              <w:t>The lowest growth rate</w:t>
            </w:r>
            <w:r w:rsidR="008938C1" w:rsidRPr="00B80469">
              <w:t xml:space="preserve"> in turnover </w:t>
            </w:r>
            <w:r w:rsidRPr="00B80469">
              <w:t>is</w:t>
            </w:r>
            <w:r w:rsidR="008938C1" w:rsidRPr="00B80469">
              <w:t xml:space="preserve"> observed for large firms (5.0%).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Largest companies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04CDF" w:rsidP="00FF6BA5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Some of the largest Huntingdonshire-based companies operate in Construction and Utilities (e.g. </w:t>
            </w:r>
            <w:r w:rsidR="00783ADD" w:rsidRPr="00B80469">
              <w:t>Osprey Acquisitions Limited (Anglian Water)</w:t>
            </w:r>
            <w:r w:rsidRPr="00B80469">
              <w:t xml:space="preserve">), Manufacturing (e.g. </w:t>
            </w:r>
            <w:r w:rsidR="00783ADD" w:rsidRPr="00B80469">
              <w:t>Hilton Food Group PLC</w:t>
            </w:r>
            <w:r w:rsidRPr="00B80469">
              <w:t xml:space="preserve">), Other Business Services (e.g. </w:t>
            </w:r>
            <w:r w:rsidR="00783ADD" w:rsidRPr="00B80469">
              <w:t>RR Donnelley UK Limited</w:t>
            </w:r>
            <w:r w:rsidRPr="00B80469">
              <w:t xml:space="preserve">), Life Science and Healthcare (e.g. </w:t>
            </w:r>
            <w:proofErr w:type="spellStart"/>
            <w:r w:rsidR="00783ADD" w:rsidRPr="00B80469">
              <w:t>Envigo</w:t>
            </w:r>
            <w:proofErr w:type="spellEnd"/>
            <w:r w:rsidR="00783ADD" w:rsidRPr="00B80469">
              <w:t xml:space="preserve"> CRS Limited</w:t>
            </w:r>
            <w:r w:rsidRPr="00B80469">
              <w:t>)</w:t>
            </w:r>
            <w:r w:rsidR="00FF6BA5" w:rsidRPr="00B80469">
              <w:t>,</w:t>
            </w:r>
            <w:r w:rsidRPr="00B80469">
              <w:t xml:space="preserve"> and High-Tech Manufacturing (e.g. </w:t>
            </w:r>
            <w:r w:rsidR="00FF6BA5" w:rsidRPr="00B80469">
              <w:t>Bosch Rexroth Limited</w:t>
            </w:r>
            <w:r w:rsidRPr="00B80469">
              <w:t>).</w:t>
            </w:r>
          </w:p>
          <w:p w:rsidR="00604CDF" w:rsidRPr="00B80469" w:rsidRDefault="00604CDF" w:rsidP="004A6C23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Most of the largest companies active in the area are concentrated in non-KI sectors, including </w:t>
            </w:r>
            <w:r w:rsidR="004A6C23" w:rsidRPr="00B80469">
              <w:t>Transport and Travel (e.g. TUI UK Limited), Other Business Services (e.g. Serco Group PLC), Property and Finance (e.g. Royal &amp; Sun Alliance Insurance PLC), Construction and Utilities (e.g. Skanska UK PLC), and Wholesale and Retail Distribution (e.g. Wilko Retail Limited)</w:t>
            </w:r>
            <w:r w:rsidRPr="00B80469">
              <w:t>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Comparison with BRES</w:t>
            </w:r>
          </w:p>
        </w:tc>
      </w:tr>
      <w:tr w:rsidR="00687B8D" w:rsidRPr="00B80469" w:rsidTr="0072635A">
        <w:tc>
          <w:tcPr>
            <w:tcW w:w="9016" w:type="dxa"/>
          </w:tcPr>
          <w:p w:rsidR="00604CDF" w:rsidRPr="00B80469" w:rsidRDefault="00604CDF" w:rsidP="00604CDF">
            <w:pPr>
              <w:pStyle w:val="ListParagraph"/>
              <w:numPr>
                <w:ilvl w:val="0"/>
                <w:numId w:val="1"/>
              </w:numPr>
            </w:pPr>
            <w:r w:rsidRPr="00B80469">
              <w:t>Total employment based on Cambridge Ahead data represents approximately 62% of total BRES employment.</w:t>
            </w:r>
          </w:p>
          <w:p w:rsidR="00687B8D" w:rsidRDefault="00604CDF" w:rsidP="00FF6BA5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Six-year employment growth is </w:t>
            </w:r>
            <w:r w:rsidR="00FF6BA5" w:rsidRPr="00B80469">
              <w:t>4.9</w:t>
            </w:r>
            <w:r w:rsidRPr="00B80469">
              <w:t xml:space="preserve">% based on Cambridge Ahead data and </w:t>
            </w:r>
            <w:r w:rsidR="00140DD1" w:rsidRPr="00B80469">
              <w:t>1.7</w:t>
            </w:r>
            <w:r w:rsidRPr="00B80469">
              <w:t>% according to BRES data.</w:t>
            </w:r>
          </w:p>
          <w:p w:rsidR="00336B16" w:rsidRPr="00B80469" w:rsidRDefault="00336B16" w:rsidP="00336B16">
            <w:pPr>
              <w:pStyle w:val="ListParagraph"/>
              <w:numPr>
                <w:ilvl w:val="0"/>
                <w:numId w:val="1"/>
              </w:numPr>
            </w:pPr>
            <w:r>
              <w:t>Six-year employment growth based on the compromise estimate is 2.</w:t>
            </w:r>
            <w:r>
              <w:t>2</w:t>
            </w:r>
            <w:r>
              <w:t>%. This estimate takes the growth rates from Cambridge Ahead data for the first ten sectors and the growth rates from BRES data for the last ten sectors.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</w:pPr>
            <w:r w:rsidRPr="00B80469">
              <w:rPr>
                <w:b/>
                <w:sz w:val="24"/>
                <w:szCs w:val="24"/>
              </w:rPr>
              <w:lastRenderedPageBreak/>
              <w:t>Peterborough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Key sectors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5479C7" w:rsidP="005479C7">
            <w:pPr>
              <w:pStyle w:val="ListParagraph"/>
              <w:numPr>
                <w:ilvl w:val="0"/>
                <w:numId w:val="2"/>
              </w:numPr>
            </w:pPr>
            <w:r w:rsidRPr="00B80469">
              <w:t xml:space="preserve">Peterborough contributes </w:t>
            </w:r>
            <w:r w:rsidR="00A00450" w:rsidRPr="00B80469">
              <w:t>23.8</w:t>
            </w:r>
            <w:r w:rsidRPr="00B80469">
              <w:t>% of total employment and 24.</w:t>
            </w:r>
            <w:r w:rsidR="00A00450" w:rsidRPr="00B80469">
              <w:t>5</w:t>
            </w:r>
            <w:r w:rsidRPr="00B80469">
              <w:t>% of total turnover in the Combined Authority</w:t>
            </w:r>
            <w:r w:rsidR="003E75BE" w:rsidRPr="00B80469">
              <w:t xml:space="preserve">, the </w:t>
            </w:r>
            <w:r w:rsidR="00980D6C" w:rsidRPr="00B80469">
              <w:t>second largest</w:t>
            </w:r>
            <w:r w:rsidR="003E75BE" w:rsidRPr="00B80469">
              <w:t xml:space="preserve"> contribution </w:t>
            </w:r>
            <w:r w:rsidR="00980D6C" w:rsidRPr="00B80469">
              <w:t>after</w:t>
            </w:r>
            <w:r w:rsidR="003E75BE" w:rsidRPr="00B80469">
              <w:t xml:space="preserve"> South Cambridgeshire</w:t>
            </w:r>
            <w:r w:rsidRPr="00B80469">
              <w:t>.</w:t>
            </w:r>
          </w:p>
          <w:p w:rsidR="005479C7" w:rsidRPr="00B80469" w:rsidRDefault="005479C7" w:rsidP="005479C7">
            <w:pPr>
              <w:pStyle w:val="ListParagraph"/>
              <w:numPr>
                <w:ilvl w:val="0"/>
                <w:numId w:val="2"/>
              </w:numPr>
            </w:pPr>
            <w:r w:rsidRPr="00B80469">
              <w:t>Employment is particularly high in Property and Finance (</w:t>
            </w:r>
            <w:r w:rsidR="00A00450" w:rsidRPr="00B80469">
              <w:t>30.2</w:t>
            </w:r>
            <w:r w:rsidRPr="00B80469">
              <w:t>% of total employment in the district and 63.</w:t>
            </w:r>
            <w:r w:rsidR="00A00450" w:rsidRPr="00B80469">
              <w:t>4</w:t>
            </w:r>
            <w:r w:rsidRPr="00B80469">
              <w:t xml:space="preserve">% of total employment for the sector in the </w:t>
            </w:r>
            <w:r w:rsidR="006B6250" w:rsidRPr="00B80469">
              <w:t>region</w:t>
            </w:r>
            <w:r w:rsidRPr="00B80469">
              <w:t xml:space="preserve">), </w:t>
            </w:r>
            <w:r w:rsidR="00A00450" w:rsidRPr="00B80469">
              <w:t xml:space="preserve">Wholesale and Retail Distribution (11.5% and 26.1%), </w:t>
            </w:r>
            <w:r w:rsidRPr="00B80469">
              <w:t>and</w:t>
            </w:r>
            <w:r w:rsidR="00A00450" w:rsidRPr="00B80469">
              <w:t xml:space="preserve"> Other Business Services (11.0% and 22.5%)</w:t>
            </w:r>
            <w:r w:rsidRPr="00B80469">
              <w:t>.</w:t>
            </w:r>
          </w:p>
          <w:p w:rsidR="005479C7" w:rsidRPr="00B80469" w:rsidRDefault="005479C7" w:rsidP="005479C7">
            <w:pPr>
              <w:pStyle w:val="ListParagraph"/>
              <w:numPr>
                <w:ilvl w:val="0"/>
                <w:numId w:val="2"/>
              </w:numPr>
            </w:pPr>
            <w:r w:rsidRPr="00B80469">
              <w:t>The largest KI sector is High-Tech Manufacturing, which accounts for almost a third of total employment for the sector in the Combined Authority.</w:t>
            </w:r>
          </w:p>
          <w:p w:rsidR="005479C7" w:rsidRPr="00B80469" w:rsidRDefault="005479C7" w:rsidP="005479C7">
            <w:pPr>
              <w:pStyle w:val="ListParagraph"/>
              <w:numPr>
                <w:ilvl w:val="0"/>
                <w:numId w:val="2"/>
              </w:numPr>
            </w:pPr>
            <w:r w:rsidRPr="00B80469">
              <w:t>The largest sector based on turnover is Transport and Travel (27.</w:t>
            </w:r>
            <w:r w:rsidR="006E4006" w:rsidRPr="00B80469">
              <w:t>5</w:t>
            </w:r>
            <w:r w:rsidRPr="00B80469">
              <w:t>%).</w:t>
            </w:r>
          </w:p>
          <w:p w:rsidR="005479C7" w:rsidRPr="00B80469" w:rsidRDefault="006B6250" w:rsidP="006B6250">
            <w:pPr>
              <w:pStyle w:val="ListParagraph"/>
              <w:numPr>
                <w:ilvl w:val="0"/>
                <w:numId w:val="2"/>
              </w:numPr>
            </w:pPr>
            <w:r w:rsidRPr="00B80469">
              <w:t>Employment is concentrated</w:t>
            </w:r>
            <w:r w:rsidR="005479C7" w:rsidRPr="00B80469">
              <w:t xml:space="preserve"> in several non-KI sectors, </w:t>
            </w:r>
            <w:r w:rsidR="006E4006" w:rsidRPr="00B80469">
              <w:t>including</w:t>
            </w:r>
            <w:r w:rsidR="005479C7" w:rsidRPr="00B80469">
              <w:t xml:space="preserve"> Property and Finance, as well as in </w:t>
            </w:r>
            <w:r w:rsidRPr="00B80469">
              <w:t xml:space="preserve">some KI sectors such as </w:t>
            </w:r>
            <w:r w:rsidR="005479C7" w:rsidRPr="00B80469">
              <w:t>High-Tech Manufacturing.</w:t>
            </w:r>
          </w:p>
          <w:p w:rsidR="006B6250" w:rsidRPr="00B80469" w:rsidRDefault="006B6250" w:rsidP="006E4006">
            <w:pPr>
              <w:pStyle w:val="ListParagraph"/>
              <w:numPr>
                <w:ilvl w:val="0"/>
                <w:numId w:val="2"/>
              </w:numPr>
            </w:pPr>
            <w:r w:rsidRPr="00B80469">
              <w:t>Total employment growth in Peterborough over the six-year period (</w:t>
            </w:r>
            <w:r w:rsidR="006E4006" w:rsidRPr="00B80469">
              <w:t>5.7</w:t>
            </w:r>
            <w:r w:rsidRPr="00B80469">
              <w:t xml:space="preserve">%) </w:t>
            </w:r>
            <w:r w:rsidR="006E4006" w:rsidRPr="00B80469">
              <w:t>has been lower compared to the Combined Authority (6.0%)</w:t>
            </w:r>
            <w:r w:rsidRPr="00B80469">
              <w:t>.</w:t>
            </w:r>
          </w:p>
          <w:p w:rsidR="006B6250" w:rsidRPr="00B80469" w:rsidRDefault="006B6250" w:rsidP="006B6250">
            <w:pPr>
              <w:pStyle w:val="ListParagraph"/>
              <w:numPr>
                <w:ilvl w:val="0"/>
                <w:numId w:val="2"/>
              </w:numPr>
            </w:pPr>
            <w:r w:rsidRPr="00B80469">
              <w:t xml:space="preserve">The sector that has exhibited the largest growth in employment is </w:t>
            </w:r>
            <w:r w:rsidR="00814731" w:rsidRPr="00B80469">
              <w:t xml:space="preserve">Property and Finance </w:t>
            </w:r>
            <w:r w:rsidRPr="00B80469">
              <w:t>(</w:t>
            </w:r>
            <w:r w:rsidR="00814731" w:rsidRPr="00B80469">
              <w:t>11.0</w:t>
            </w:r>
            <w:r w:rsidRPr="00B80469">
              <w:t xml:space="preserve">%), followed by </w:t>
            </w:r>
            <w:r w:rsidR="00814731" w:rsidRPr="00B80469">
              <w:t>Other Business Services</w:t>
            </w:r>
            <w:r w:rsidRPr="00B80469">
              <w:t xml:space="preserve"> (</w:t>
            </w:r>
            <w:r w:rsidR="00814731" w:rsidRPr="00B80469">
              <w:t>9.1</w:t>
            </w:r>
            <w:r w:rsidRPr="00B80469">
              <w:t>%).</w:t>
            </w:r>
          </w:p>
          <w:p w:rsidR="006B6250" w:rsidRPr="00B80469" w:rsidRDefault="006B6250" w:rsidP="006B6250">
            <w:pPr>
              <w:pStyle w:val="ListParagraph"/>
              <w:numPr>
                <w:ilvl w:val="0"/>
                <w:numId w:val="2"/>
              </w:numPr>
            </w:pPr>
            <w:r w:rsidRPr="00B80469">
              <w:t xml:space="preserve">Peterborough has seen </w:t>
            </w:r>
            <w:r w:rsidR="00814731" w:rsidRPr="00B80469">
              <w:t>rather</w:t>
            </w:r>
            <w:r w:rsidRPr="00B80469">
              <w:t xml:space="preserve"> limited turnover growth over the entire period (2.</w:t>
            </w:r>
            <w:r w:rsidR="00814731" w:rsidRPr="00B80469">
              <w:t>2</w:t>
            </w:r>
            <w:r w:rsidRPr="00B80469">
              <w:t>% as opposed to 6.</w:t>
            </w:r>
            <w:r w:rsidR="00814731" w:rsidRPr="00B80469">
              <w:t>5</w:t>
            </w:r>
            <w:r w:rsidRPr="00B80469">
              <w:t>% in the Combined Authority).</w:t>
            </w:r>
          </w:p>
          <w:p w:rsidR="006B6250" w:rsidRPr="00B80469" w:rsidRDefault="006B6250" w:rsidP="00E3156D">
            <w:pPr>
              <w:pStyle w:val="ListParagraph"/>
              <w:numPr>
                <w:ilvl w:val="0"/>
                <w:numId w:val="2"/>
              </w:numPr>
            </w:pPr>
            <w:r w:rsidRPr="00B80469">
              <w:t xml:space="preserve">Concentration in terms of employment has increased </w:t>
            </w:r>
            <w:r w:rsidR="00E3156D" w:rsidRPr="00B80469">
              <w:t xml:space="preserve">primarily </w:t>
            </w:r>
            <w:r w:rsidRPr="00B80469">
              <w:t xml:space="preserve">in </w:t>
            </w:r>
            <w:r w:rsidR="00814731" w:rsidRPr="00B80469">
              <w:t xml:space="preserve">Property and Finance, </w:t>
            </w:r>
            <w:r w:rsidR="00E3156D" w:rsidRPr="00B80469">
              <w:t>and Other Business Services</w:t>
            </w:r>
            <w:r w:rsidRPr="00B80469">
              <w:t>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951EBA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Distribution of employment and turnover by firm size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E017C5" w:rsidP="00E017C5">
            <w:pPr>
              <w:pStyle w:val="ListParagraph"/>
              <w:numPr>
                <w:ilvl w:val="0"/>
                <w:numId w:val="1"/>
              </w:numPr>
            </w:pPr>
            <w:r w:rsidRPr="00B80469">
              <w:t>Employment in Peterborough is concentrated among firms with more than 250 employees, which account for 6</w:t>
            </w:r>
            <w:r w:rsidR="003C043B" w:rsidRPr="00B80469">
              <w:t>2</w:t>
            </w:r>
            <w:r w:rsidRPr="00B80469">
              <w:t>.</w:t>
            </w:r>
            <w:r w:rsidR="003C043B" w:rsidRPr="00B80469">
              <w:t>5</w:t>
            </w:r>
            <w:r w:rsidRPr="00B80469">
              <w:t>% of total employment in the district.</w:t>
            </w:r>
          </w:p>
          <w:p w:rsidR="00E017C5" w:rsidRPr="00B80469" w:rsidRDefault="00E017C5" w:rsidP="00C55D6F">
            <w:pPr>
              <w:pStyle w:val="ListParagraph"/>
              <w:numPr>
                <w:ilvl w:val="0"/>
                <w:numId w:val="1"/>
              </w:numPr>
            </w:pPr>
            <w:r w:rsidRPr="00B80469">
              <w:t>The share of turnover generated by large firms (71.</w:t>
            </w:r>
            <w:r w:rsidR="003C043B" w:rsidRPr="00B80469">
              <w:t>1</w:t>
            </w:r>
            <w:r w:rsidRPr="00B80469">
              <w:t xml:space="preserve">%) is </w:t>
            </w:r>
            <w:r w:rsidR="00C55D6F" w:rsidRPr="00B80469">
              <w:t>substantially</w:t>
            </w:r>
            <w:r w:rsidRPr="00B80469">
              <w:t xml:space="preserve"> higher</w:t>
            </w:r>
            <w:r w:rsidR="00C55D6F" w:rsidRPr="00B80469">
              <w:t xml:space="preserve"> relative to the Combined Authority (5</w:t>
            </w:r>
            <w:r w:rsidR="003C043B" w:rsidRPr="00B80469">
              <w:t>3</w:t>
            </w:r>
            <w:r w:rsidR="00C55D6F" w:rsidRPr="00B80469">
              <w:t>.</w:t>
            </w:r>
            <w:r w:rsidR="003C043B" w:rsidRPr="00B80469">
              <w:t>1</w:t>
            </w:r>
            <w:r w:rsidR="00C55D6F" w:rsidRPr="00B80469">
              <w:t>%).</w:t>
            </w:r>
          </w:p>
          <w:p w:rsidR="00C55D6F" w:rsidRPr="00B80469" w:rsidRDefault="00C55D6F" w:rsidP="003C043B">
            <w:pPr>
              <w:pStyle w:val="ListParagraph"/>
              <w:numPr>
                <w:ilvl w:val="0"/>
                <w:numId w:val="1"/>
              </w:numPr>
            </w:pPr>
            <w:r w:rsidRPr="00B80469">
              <w:t>Total employment growth is mostly driven by large firms, which have been growing at higher rates compared to the whole region (</w:t>
            </w:r>
            <w:r w:rsidR="003C043B" w:rsidRPr="00B80469">
              <w:t>6.9% and 6.2%</w:t>
            </w:r>
            <w:r w:rsidRPr="00B80469">
              <w:t>, respectively).</w:t>
            </w:r>
          </w:p>
          <w:p w:rsidR="00C55D6F" w:rsidRPr="00B80469" w:rsidRDefault="00C55D6F" w:rsidP="003C043B">
            <w:pPr>
              <w:pStyle w:val="ListParagraph"/>
              <w:numPr>
                <w:ilvl w:val="0"/>
                <w:numId w:val="1"/>
              </w:numPr>
            </w:pPr>
            <w:r w:rsidRPr="00B80469">
              <w:t>Turnover growth for large firms has slowed down during the past three years (</w:t>
            </w:r>
            <w:r w:rsidR="003C043B" w:rsidRPr="00B80469">
              <w:t>-</w:t>
            </w:r>
            <w:r w:rsidRPr="00B80469">
              <w:t>0.</w:t>
            </w:r>
            <w:r w:rsidR="003C043B" w:rsidRPr="00B80469">
              <w:t>3</w:t>
            </w:r>
            <w:r w:rsidRPr="00B80469">
              <w:t>%).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Largest companies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F4029A" w:rsidP="0011099D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Sectors where large </w:t>
            </w:r>
            <w:r w:rsidR="001D376D" w:rsidRPr="00B80469">
              <w:t xml:space="preserve">Peterborough-based </w:t>
            </w:r>
            <w:r w:rsidRPr="00B80469">
              <w:t xml:space="preserve">companies are represented are Transport and Travel (e.g. </w:t>
            </w:r>
            <w:r w:rsidR="003C043B" w:rsidRPr="00B80469">
              <w:t>Thomas Cook Tour Operations Limited</w:t>
            </w:r>
            <w:r w:rsidRPr="00B80469">
              <w:t xml:space="preserve">), </w:t>
            </w:r>
            <w:r w:rsidR="0011099D" w:rsidRPr="00B80469">
              <w:t xml:space="preserve">High-Tech Manufacturing (e.g. Perkins Engines Company Limited), </w:t>
            </w:r>
            <w:r w:rsidR="003C043B" w:rsidRPr="00B80469">
              <w:t xml:space="preserve">Property and Finance (e.g. BGL Group Limited and Aldermore Bank PLC), </w:t>
            </w:r>
            <w:r w:rsidR="0011099D" w:rsidRPr="00B80469">
              <w:t xml:space="preserve">Manufacturing (e.g. Johnston Publishing Limited), and </w:t>
            </w:r>
            <w:r w:rsidRPr="00B80469">
              <w:t xml:space="preserve">Wholesale and Retail Distribution (e.g. </w:t>
            </w:r>
            <w:r w:rsidR="0011099D" w:rsidRPr="00B80469">
              <w:t>Ideal Shopping Direct Limited</w:t>
            </w:r>
            <w:r w:rsidRPr="00B80469">
              <w:t>)</w:t>
            </w:r>
            <w:r w:rsidR="001D376D" w:rsidRPr="00B80469">
              <w:t>.</w:t>
            </w:r>
          </w:p>
          <w:p w:rsidR="001D376D" w:rsidRPr="00B80469" w:rsidRDefault="001D376D" w:rsidP="00CB6F99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Two of the largest companies active in the district (i.e. </w:t>
            </w:r>
            <w:r w:rsidR="00CB6F99" w:rsidRPr="00B80469">
              <w:t>SKY PLC and Amazon UK Services Ltd.</w:t>
            </w:r>
            <w:r w:rsidRPr="00B80469">
              <w:t xml:space="preserve">) operate in Information Technology and Telecoms, while other large companies are found in </w:t>
            </w:r>
            <w:r w:rsidR="00CB6F99" w:rsidRPr="00B80469">
              <w:t>Property and Finance (e.g. RSA Insurance Group PLC), Construction and Utilities (e.g. Balfour Beatty Group Limited), and Wholesale and Retail Distribution (e.g. Ikea Limited)</w:t>
            </w:r>
            <w:r w:rsidRPr="00B80469">
              <w:t>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Comparison with BRES</w:t>
            </w:r>
          </w:p>
        </w:tc>
      </w:tr>
      <w:tr w:rsidR="00687B8D" w:rsidRPr="00B80469" w:rsidTr="0072635A">
        <w:tc>
          <w:tcPr>
            <w:tcW w:w="9016" w:type="dxa"/>
          </w:tcPr>
          <w:p w:rsidR="001D376D" w:rsidRPr="00B80469" w:rsidRDefault="001D376D" w:rsidP="001D376D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Total employment based on Cambridge Ahead data represents around </w:t>
            </w:r>
            <w:r w:rsidR="00387BE6" w:rsidRPr="00B80469">
              <w:t>49</w:t>
            </w:r>
            <w:r w:rsidRPr="00B80469">
              <w:t>% of total BRES employment.</w:t>
            </w:r>
          </w:p>
          <w:p w:rsidR="00687B8D" w:rsidRDefault="001D376D" w:rsidP="00980D6C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Six-year employment growth is </w:t>
            </w:r>
            <w:r w:rsidR="00387BE6" w:rsidRPr="00B80469">
              <w:t>5.7</w:t>
            </w:r>
            <w:r w:rsidRPr="00B80469">
              <w:t>% based on Cambridge Ahead data and 2.3% according to BRES data.</w:t>
            </w:r>
          </w:p>
          <w:p w:rsidR="00336B16" w:rsidRPr="00B80469" w:rsidRDefault="00336B16" w:rsidP="00336B16">
            <w:pPr>
              <w:pStyle w:val="ListParagraph"/>
              <w:numPr>
                <w:ilvl w:val="0"/>
                <w:numId w:val="1"/>
              </w:numPr>
            </w:pPr>
            <w:r>
              <w:t xml:space="preserve">Six-year employment growth based on the compromise estimate is </w:t>
            </w:r>
            <w:r>
              <w:t>3</w:t>
            </w:r>
            <w:r>
              <w:t>.4%. This estimate takes the growth rates from Cambridge Ahead data for the first ten sectors and the growth rates from BRES data for the last ten sectors.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</w:pPr>
            <w:r w:rsidRPr="00B80469">
              <w:rPr>
                <w:b/>
                <w:sz w:val="24"/>
                <w:szCs w:val="24"/>
              </w:rPr>
              <w:lastRenderedPageBreak/>
              <w:t>Fenland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Key sectors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F96AA2" w:rsidP="00F96AA2">
            <w:pPr>
              <w:pStyle w:val="ListParagraph"/>
              <w:numPr>
                <w:ilvl w:val="0"/>
                <w:numId w:val="2"/>
              </w:numPr>
            </w:pPr>
            <w:r w:rsidRPr="00B80469">
              <w:t>Fenland contributes 5.</w:t>
            </w:r>
            <w:r w:rsidR="005364FA" w:rsidRPr="00B80469">
              <w:t>1</w:t>
            </w:r>
            <w:r w:rsidRPr="00B80469">
              <w:t>% of total employment and 4.</w:t>
            </w:r>
            <w:r w:rsidR="005364FA" w:rsidRPr="00B80469">
              <w:t>7</w:t>
            </w:r>
            <w:r w:rsidRPr="00B80469">
              <w:t xml:space="preserve">% of total turnover in the Combined Authority, the </w:t>
            </w:r>
            <w:r w:rsidR="00EB1BD1" w:rsidRPr="00B80469">
              <w:t>smallest contribution</w:t>
            </w:r>
            <w:r w:rsidRPr="00B80469">
              <w:t xml:space="preserve"> among the six districts.</w:t>
            </w:r>
          </w:p>
          <w:p w:rsidR="00F96AA2" w:rsidRPr="00B80469" w:rsidRDefault="00F96AA2" w:rsidP="00F96AA2">
            <w:pPr>
              <w:pStyle w:val="ListParagraph"/>
              <w:numPr>
                <w:ilvl w:val="0"/>
                <w:numId w:val="2"/>
              </w:numPr>
            </w:pPr>
            <w:r w:rsidRPr="00B80469">
              <w:t>The largest share of employment is in the Primary sector (20.</w:t>
            </w:r>
            <w:r w:rsidR="005364FA" w:rsidRPr="00B80469">
              <w:t>8</w:t>
            </w:r>
            <w:r w:rsidRPr="00B80469">
              <w:t>% of total employment in the area and 2</w:t>
            </w:r>
            <w:r w:rsidR="005364FA" w:rsidRPr="00B80469">
              <w:t>0</w:t>
            </w:r>
            <w:r w:rsidRPr="00B80469">
              <w:t>.</w:t>
            </w:r>
            <w:r w:rsidR="005364FA" w:rsidRPr="00B80469">
              <w:t>9</w:t>
            </w:r>
            <w:r w:rsidRPr="00B80469">
              <w:t>% of total employment for the sector in the Combined Authority).</w:t>
            </w:r>
          </w:p>
          <w:p w:rsidR="00F96AA2" w:rsidRPr="00B80469" w:rsidRDefault="00F96AA2" w:rsidP="00F96AA2">
            <w:pPr>
              <w:pStyle w:val="ListParagraph"/>
              <w:numPr>
                <w:ilvl w:val="0"/>
                <w:numId w:val="2"/>
              </w:numPr>
            </w:pPr>
            <w:r w:rsidRPr="00B80469">
              <w:t>The share of employment in KI sectors (6.</w:t>
            </w:r>
            <w:r w:rsidR="005364FA" w:rsidRPr="00B80469">
              <w:t>9</w:t>
            </w:r>
            <w:r w:rsidRPr="00B80469">
              <w:t xml:space="preserve">%) is </w:t>
            </w:r>
            <w:r w:rsidR="00727FEA" w:rsidRPr="00B80469">
              <w:t>the lowest in</w:t>
            </w:r>
            <w:r w:rsidRPr="00B80469">
              <w:t xml:space="preserve"> the Combined Authority.</w:t>
            </w:r>
          </w:p>
          <w:p w:rsidR="00F96AA2" w:rsidRPr="00B80469" w:rsidRDefault="00F96AA2" w:rsidP="00F96AA2">
            <w:pPr>
              <w:pStyle w:val="ListParagraph"/>
              <w:numPr>
                <w:ilvl w:val="0"/>
                <w:numId w:val="2"/>
              </w:numPr>
            </w:pPr>
            <w:r w:rsidRPr="00B80469">
              <w:t>The greatest contribution in terms of turnover comes from the Wholesale and Retail Distribution sector, which accounts for 3</w:t>
            </w:r>
            <w:r w:rsidR="005364FA" w:rsidRPr="00B80469">
              <w:t>3</w:t>
            </w:r>
            <w:r w:rsidRPr="00B80469">
              <w:t>.</w:t>
            </w:r>
            <w:r w:rsidR="005364FA" w:rsidRPr="00B80469">
              <w:t>1</w:t>
            </w:r>
            <w:r w:rsidRPr="00B80469">
              <w:t>% of total turnover in Fenland.</w:t>
            </w:r>
          </w:p>
          <w:p w:rsidR="00F96AA2" w:rsidRPr="00B80469" w:rsidRDefault="00F96AA2" w:rsidP="00F96AA2">
            <w:pPr>
              <w:pStyle w:val="ListParagraph"/>
              <w:numPr>
                <w:ilvl w:val="0"/>
                <w:numId w:val="2"/>
              </w:numPr>
            </w:pPr>
            <w:r w:rsidRPr="00B80469">
              <w:t>Employment in the district tends to be concentrated in the Primary sector, although relatively high concentration is also observed in Construction and Utilities, and Manufacturing.</w:t>
            </w:r>
          </w:p>
          <w:p w:rsidR="00F96AA2" w:rsidRPr="00B80469" w:rsidRDefault="00F96AA2" w:rsidP="005364FA">
            <w:pPr>
              <w:pStyle w:val="ListParagraph"/>
              <w:numPr>
                <w:ilvl w:val="0"/>
                <w:numId w:val="2"/>
              </w:numPr>
            </w:pPr>
            <w:r w:rsidRPr="00B80469">
              <w:t xml:space="preserve">During the six years to 2016-17, </w:t>
            </w:r>
            <w:r w:rsidR="005364FA" w:rsidRPr="00B80469">
              <w:t>total employment in Fenland has grown at a rate (6.3%) similar to that of the Combined Authority</w:t>
            </w:r>
            <w:r w:rsidRPr="00B80469">
              <w:t xml:space="preserve"> (6.</w:t>
            </w:r>
            <w:r w:rsidR="005364FA" w:rsidRPr="00B80469">
              <w:t>0</w:t>
            </w:r>
            <w:r w:rsidRPr="00B80469">
              <w:t>%).</w:t>
            </w:r>
          </w:p>
          <w:p w:rsidR="00F96AA2" w:rsidRPr="00B80469" w:rsidRDefault="008C21C2" w:rsidP="008C21C2">
            <w:pPr>
              <w:pStyle w:val="ListParagraph"/>
              <w:numPr>
                <w:ilvl w:val="0"/>
                <w:numId w:val="2"/>
              </w:numPr>
            </w:pPr>
            <w:r w:rsidRPr="00B80469">
              <w:t>H</w:t>
            </w:r>
            <w:r w:rsidR="00F96AA2" w:rsidRPr="00B80469">
              <w:t xml:space="preserve">igh rates of growth in employment </w:t>
            </w:r>
            <w:r w:rsidRPr="00B80469">
              <w:t>have been experienced by</w:t>
            </w:r>
            <w:r w:rsidR="00F96AA2" w:rsidRPr="00B80469">
              <w:t xml:space="preserve"> Construction and Utilities (</w:t>
            </w:r>
            <w:r w:rsidR="005364FA" w:rsidRPr="00B80469">
              <w:t>11.5</w:t>
            </w:r>
            <w:r w:rsidR="00F96AA2" w:rsidRPr="00B80469">
              <w:t>%)</w:t>
            </w:r>
            <w:r w:rsidR="005364FA" w:rsidRPr="00B80469">
              <w:t>,</w:t>
            </w:r>
            <w:r w:rsidR="00F96AA2" w:rsidRPr="00B80469">
              <w:t xml:space="preserve"> and Other Business Services (</w:t>
            </w:r>
            <w:r w:rsidRPr="00B80469">
              <w:t>10.</w:t>
            </w:r>
            <w:r w:rsidR="005364FA" w:rsidRPr="00B80469">
              <w:t>3</w:t>
            </w:r>
            <w:r w:rsidRPr="00B80469">
              <w:t>%</w:t>
            </w:r>
            <w:r w:rsidR="00F96AA2" w:rsidRPr="00B80469">
              <w:t>)</w:t>
            </w:r>
            <w:r w:rsidRPr="00B80469">
              <w:t>.</w:t>
            </w:r>
          </w:p>
          <w:p w:rsidR="008C21C2" w:rsidRPr="00B80469" w:rsidRDefault="008C21C2" w:rsidP="008C21C2">
            <w:pPr>
              <w:pStyle w:val="ListParagraph"/>
              <w:numPr>
                <w:ilvl w:val="0"/>
                <w:numId w:val="2"/>
              </w:numPr>
            </w:pPr>
            <w:r w:rsidRPr="00B80469">
              <w:t>Key sectors in terms of employment, such as Primary, Manufacturing, and Construction and Utilities, have had higher rates of growth compared to the Combined Authority.</w:t>
            </w:r>
          </w:p>
          <w:p w:rsidR="008C21C2" w:rsidRPr="00B80469" w:rsidRDefault="008C21C2" w:rsidP="008C21C2">
            <w:pPr>
              <w:pStyle w:val="ListParagraph"/>
              <w:numPr>
                <w:ilvl w:val="0"/>
                <w:numId w:val="2"/>
              </w:numPr>
            </w:pPr>
            <w:r w:rsidRPr="00B80469">
              <w:t>Six-year turnover growth in the district (</w:t>
            </w:r>
            <w:r w:rsidR="005364FA" w:rsidRPr="00B80469">
              <w:t>4.8</w:t>
            </w:r>
            <w:r w:rsidRPr="00B80469">
              <w:t>%) has been lower than that for the Combined Authority (6.</w:t>
            </w:r>
            <w:r w:rsidR="005364FA" w:rsidRPr="00B80469">
              <w:t>5</w:t>
            </w:r>
            <w:r w:rsidRPr="00B80469">
              <w:t>%)</w:t>
            </w:r>
            <w:r w:rsidR="001B0E31" w:rsidRPr="00B80469">
              <w:t>, yet greater than that for Peterborough (2.</w:t>
            </w:r>
            <w:r w:rsidR="0016694D" w:rsidRPr="00B80469">
              <w:t>2</w:t>
            </w:r>
            <w:r w:rsidR="001B0E31" w:rsidRPr="00B80469">
              <w:t>%)</w:t>
            </w:r>
            <w:r w:rsidRPr="00B80469">
              <w:t>.</w:t>
            </w:r>
          </w:p>
          <w:p w:rsidR="008C21C2" w:rsidRPr="00B80469" w:rsidRDefault="008C21C2" w:rsidP="005364FA">
            <w:pPr>
              <w:pStyle w:val="ListParagraph"/>
              <w:numPr>
                <w:ilvl w:val="0"/>
                <w:numId w:val="2"/>
              </w:numPr>
            </w:pPr>
            <w:r w:rsidRPr="00B80469">
              <w:t xml:space="preserve">Relative concentration for employment has increased in a number of key sectors, namely Construction and Utilities, </w:t>
            </w:r>
            <w:r w:rsidR="005364FA" w:rsidRPr="00B80469">
              <w:t xml:space="preserve">and </w:t>
            </w:r>
            <w:r w:rsidRPr="00B80469">
              <w:t>Manufacturing.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951EBA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Distribution of employment and turnover by firm size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547DC2" w:rsidP="00547DC2">
            <w:pPr>
              <w:pStyle w:val="ListParagraph"/>
              <w:numPr>
                <w:ilvl w:val="0"/>
                <w:numId w:val="1"/>
              </w:numPr>
            </w:pPr>
            <w:r w:rsidRPr="00B80469">
              <w:t>Over half of total employment in Fenland is concentrated in SMEs, while micro firms account for approximately 30% of total employment.</w:t>
            </w:r>
          </w:p>
          <w:p w:rsidR="00547DC2" w:rsidRPr="00B80469" w:rsidRDefault="00547DC2" w:rsidP="00547DC2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The largest share of turnover </w:t>
            </w:r>
            <w:r w:rsidR="002C6542" w:rsidRPr="00B80469">
              <w:t xml:space="preserve">in the area </w:t>
            </w:r>
            <w:r w:rsidRPr="00B80469">
              <w:t xml:space="preserve">is originated by </w:t>
            </w:r>
            <w:r w:rsidR="002C6542" w:rsidRPr="00B80469">
              <w:t>firms</w:t>
            </w:r>
            <w:r w:rsidRPr="00B80469">
              <w:t xml:space="preserve"> with 10-49 employees</w:t>
            </w:r>
            <w:r w:rsidR="002C6542" w:rsidRPr="00B80469">
              <w:t xml:space="preserve"> (2</w:t>
            </w:r>
            <w:r w:rsidR="00F506A5" w:rsidRPr="00B80469">
              <w:t>9</w:t>
            </w:r>
            <w:r w:rsidR="002C6542" w:rsidRPr="00B80469">
              <w:t>.</w:t>
            </w:r>
            <w:r w:rsidR="00F506A5" w:rsidRPr="00B80469">
              <w:t>4</w:t>
            </w:r>
            <w:r w:rsidR="002C6542" w:rsidRPr="00B80469">
              <w:t>%)</w:t>
            </w:r>
            <w:r w:rsidRPr="00B80469">
              <w:t>.</w:t>
            </w:r>
          </w:p>
          <w:p w:rsidR="00547DC2" w:rsidRPr="00B80469" w:rsidRDefault="00547DC2" w:rsidP="00547DC2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SMEs have exhibited the highest rates of </w:t>
            </w:r>
            <w:r w:rsidR="00EB1BD1" w:rsidRPr="00B80469">
              <w:t xml:space="preserve">employment </w:t>
            </w:r>
            <w:r w:rsidRPr="00B80469">
              <w:t>growth in the district (</w:t>
            </w:r>
            <w:r w:rsidR="00F506A5" w:rsidRPr="00B80469">
              <w:t>7.8</w:t>
            </w:r>
            <w:r w:rsidRPr="00B80469">
              <w:t>%) and have grown at a faster rate relative to the Combined Authority (</w:t>
            </w:r>
            <w:r w:rsidR="00F506A5" w:rsidRPr="00B80469">
              <w:t>5.7</w:t>
            </w:r>
            <w:r w:rsidRPr="00B80469">
              <w:t>%).</w:t>
            </w:r>
          </w:p>
          <w:p w:rsidR="00547DC2" w:rsidRPr="00B80469" w:rsidRDefault="00547DC2" w:rsidP="00547DC2">
            <w:pPr>
              <w:pStyle w:val="ListParagraph"/>
              <w:numPr>
                <w:ilvl w:val="0"/>
                <w:numId w:val="1"/>
              </w:numPr>
            </w:pPr>
            <w:r w:rsidRPr="00B80469">
              <w:t>The highest rate of growth in turnover is reported for large firms (7.8%).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Largest companies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9F590C" w:rsidP="00F506A5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Some </w:t>
            </w:r>
            <w:r w:rsidR="00EB1BD1" w:rsidRPr="00B80469">
              <w:t xml:space="preserve">of the </w:t>
            </w:r>
            <w:r w:rsidRPr="00B80469">
              <w:t xml:space="preserve">key players based in Fenland </w:t>
            </w:r>
            <w:r w:rsidR="00EB1BD1" w:rsidRPr="00B80469">
              <w:t>are</w:t>
            </w:r>
            <w:r w:rsidRPr="00B80469">
              <w:t xml:space="preserve"> found in Wholesale and Retail Distribution (e.g. </w:t>
            </w:r>
            <w:r w:rsidR="00F506A5" w:rsidRPr="00B80469">
              <w:t>MM (UK) Limited</w:t>
            </w:r>
            <w:r w:rsidRPr="00B80469">
              <w:t xml:space="preserve">), Primary (e.g. </w:t>
            </w:r>
            <w:r w:rsidR="00F506A5" w:rsidRPr="00B80469">
              <w:t>Produce Investments PLC and Alan Bartlett &amp; Sons (</w:t>
            </w:r>
            <w:proofErr w:type="spellStart"/>
            <w:r w:rsidR="00F506A5" w:rsidRPr="00B80469">
              <w:t>Chatteris</w:t>
            </w:r>
            <w:proofErr w:type="spellEnd"/>
            <w:r w:rsidR="00F506A5" w:rsidRPr="00B80469">
              <w:t>) Limited</w:t>
            </w:r>
            <w:r w:rsidRPr="00B80469">
              <w:t xml:space="preserve">), Manufacturing (e.g. </w:t>
            </w:r>
            <w:r w:rsidR="00F506A5" w:rsidRPr="00B80469">
              <w:t xml:space="preserve">LH Holdings Limited and </w:t>
            </w:r>
            <w:proofErr w:type="spellStart"/>
            <w:r w:rsidR="00F506A5" w:rsidRPr="00B80469">
              <w:t>Fencor</w:t>
            </w:r>
            <w:proofErr w:type="spellEnd"/>
            <w:r w:rsidR="00F506A5" w:rsidRPr="00B80469">
              <w:t xml:space="preserve"> Packaging Group Limited</w:t>
            </w:r>
            <w:r w:rsidRPr="00B80469">
              <w:t>)</w:t>
            </w:r>
            <w:r w:rsidR="00F506A5" w:rsidRPr="00B80469">
              <w:t xml:space="preserve"> and Other Business Services (e.g. Lamb-Weston/Meijer UK Limited)</w:t>
            </w:r>
            <w:r w:rsidRPr="00B80469">
              <w:t>.</w:t>
            </w:r>
          </w:p>
          <w:p w:rsidR="009F590C" w:rsidRPr="00B80469" w:rsidRDefault="009F590C" w:rsidP="00A07228">
            <w:pPr>
              <w:pStyle w:val="ListParagraph"/>
              <w:numPr>
                <w:ilvl w:val="0"/>
                <w:numId w:val="1"/>
              </w:numPr>
            </w:pPr>
            <w:r w:rsidRPr="00B80469">
              <w:t xml:space="preserve">Most of the largest companies active in the area belong to non-KI sectors, including Wholesale and Retail Distribution (e.g. </w:t>
            </w:r>
            <w:r w:rsidR="00A07228" w:rsidRPr="00B80469">
              <w:t xml:space="preserve">Princes Limited and </w:t>
            </w:r>
            <w:proofErr w:type="spellStart"/>
            <w:r w:rsidR="00A07228" w:rsidRPr="00B80469">
              <w:t>Farmfoods</w:t>
            </w:r>
            <w:proofErr w:type="spellEnd"/>
            <w:r w:rsidR="00A07228" w:rsidRPr="00B80469">
              <w:t xml:space="preserve"> Limited</w:t>
            </w:r>
            <w:r w:rsidRPr="00B80469">
              <w:t xml:space="preserve">), Primary (e.g. </w:t>
            </w:r>
            <w:r w:rsidR="00A07228" w:rsidRPr="00B80469">
              <w:t>Aggregate Industries UK Limited</w:t>
            </w:r>
            <w:r w:rsidRPr="00B80469">
              <w:t>), Construction and Utilities (e.g</w:t>
            </w:r>
            <w:r w:rsidR="00B90D0E" w:rsidRPr="00B80469">
              <w:t xml:space="preserve">. </w:t>
            </w:r>
            <w:r w:rsidR="00A07228" w:rsidRPr="00B80469">
              <w:t>Biffa Waste Services Limited</w:t>
            </w:r>
            <w:r w:rsidR="00B90D0E" w:rsidRPr="00B80469">
              <w:t xml:space="preserve">), </w:t>
            </w:r>
            <w:r w:rsidRPr="00B80469">
              <w:t xml:space="preserve">Manufacturing (e.g. </w:t>
            </w:r>
            <w:r w:rsidR="00A07228" w:rsidRPr="00B80469">
              <w:t xml:space="preserve">Smurfit Kappa UK Ltd and </w:t>
            </w:r>
            <w:proofErr w:type="spellStart"/>
            <w:r w:rsidR="00A07228" w:rsidRPr="00B80469">
              <w:t>Mccain</w:t>
            </w:r>
            <w:proofErr w:type="spellEnd"/>
            <w:r w:rsidR="00A07228" w:rsidRPr="00B80469">
              <w:t xml:space="preserve"> Foods (G.B.) Limited</w:t>
            </w:r>
            <w:r w:rsidRPr="00B80469">
              <w:t>)</w:t>
            </w:r>
            <w:r w:rsidR="00A07228" w:rsidRPr="00B80469">
              <w:t>,</w:t>
            </w:r>
            <w:r w:rsidR="00B90D0E" w:rsidRPr="00B80469">
              <w:t xml:space="preserve"> and Transport and Travel (e.g. </w:t>
            </w:r>
            <w:proofErr w:type="spellStart"/>
            <w:r w:rsidR="00A07228" w:rsidRPr="00B80469">
              <w:t>Ceva</w:t>
            </w:r>
            <w:proofErr w:type="spellEnd"/>
            <w:r w:rsidR="00A07228" w:rsidRPr="00B80469">
              <w:t xml:space="preserve"> Logistics Limited</w:t>
            </w:r>
            <w:r w:rsidR="00B90D0E" w:rsidRPr="00B80469">
              <w:t>)</w:t>
            </w:r>
            <w:r w:rsidRPr="00B80469">
              <w:t>.</w:t>
            </w:r>
          </w:p>
        </w:tc>
      </w:tr>
      <w:tr w:rsidR="00687B8D" w:rsidRPr="00B80469" w:rsidTr="0072635A">
        <w:tc>
          <w:tcPr>
            <w:tcW w:w="9016" w:type="dxa"/>
          </w:tcPr>
          <w:p w:rsidR="00687B8D" w:rsidRPr="00B80469" w:rsidRDefault="00687B8D" w:rsidP="0072635A">
            <w:pPr>
              <w:spacing w:before="120" w:after="120"/>
              <w:rPr>
                <w:b/>
                <w:i/>
              </w:rPr>
            </w:pPr>
            <w:r w:rsidRPr="00B80469">
              <w:rPr>
                <w:b/>
                <w:i/>
              </w:rPr>
              <w:t>Comparison with BRES</w:t>
            </w:r>
          </w:p>
        </w:tc>
      </w:tr>
      <w:tr w:rsidR="00687B8D" w:rsidRPr="00B80469" w:rsidTr="0072635A">
        <w:tc>
          <w:tcPr>
            <w:tcW w:w="9016" w:type="dxa"/>
          </w:tcPr>
          <w:p w:rsidR="009F590C" w:rsidRPr="00B80469" w:rsidRDefault="009F590C" w:rsidP="009F590C">
            <w:pPr>
              <w:pStyle w:val="ListParagraph"/>
              <w:numPr>
                <w:ilvl w:val="0"/>
                <w:numId w:val="1"/>
              </w:numPr>
            </w:pPr>
            <w:r w:rsidRPr="00B80469">
              <w:t>Total employment based on Cambridge Ahead data represents over a third of total BRES employment</w:t>
            </w:r>
            <w:r w:rsidR="00FB4346" w:rsidRPr="00B80469">
              <w:t xml:space="preserve">, </w:t>
            </w:r>
            <w:r w:rsidR="00F31C1B" w:rsidRPr="00B80469">
              <w:t>the lowest value</w:t>
            </w:r>
            <w:r w:rsidR="00FB4346" w:rsidRPr="00B80469">
              <w:t xml:space="preserve"> </w:t>
            </w:r>
            <w:r w:rsidR="00F31C1B" w:rsidRPr="00B80469">
              <w:t>among the six districts</w:t>
            </w:r>
            <w:r w:rsidRPr="00B80469">
              <w:t>.</w:t>
            </w:r>
          </w:p>
          <w:p w:rsidR="00687B8D" w:rsidRDefault="009F590C" w:rsidP="007E7879">
            <w:pPr>
              <w:pStyle w:val="ListParagraph"/>
              <w:numPr>
                <w:ilvl w:val="0"/>
                <w:numId w:val="1"/>
              </w:numPr>
            </w:pPr>
            <w:r w:rsidRPr="00B80469">
              <w:t>Six-year employment growth is 6.</w:t>
            </w:r>
            <w:r w:rsidR="007E7879" w:rsidRPr="00B80469">
              <w:t>3</w:t>
            </w:r>
            <w:r w:rsidRPr="00B80469">
              <w:t>% based on Cambridge Ahead data and 2.6% according to BRES data.</w:t>
            </w:r>
          </w:p>
          <w:p w:rsidR="00336B16" w:rsidRPr="00B80469" w:rsidRDefault="00336B16" w:rsidP="00336B16">
            <w:pPr>
              <w:pStyle w:val="ListParagraph"/>
              <w:numPr>
                <w:ilvl w:val="0"/>
                <w:numId w:val="1"/>
              </w:numPr>
            </w:pPr>
            <w:r>
              <w:t xml:space="preserve">Six-year employment growth based on the compromise estimate is </w:t>
            </w:r>
            <w:r>
              <w:t>3.6</w:t>
            </w:r>
            <w:r>
              <w:t>%. This estimate takes the growth rates from Cambridge Ahead data for the first ten sectors and the growth rates from BRES data for the last ten sectors.</w:t>
            </w:r>
          </w:p>
        </w:tc>
      </w:tr>
    </w:tbl>
    <w:p w:rsidR="00703893" w:rsidRPr="00B80469" w:rsidRDefault="00703893">
      <w:r w:rsidRPr="00B80469">
        <w:lastRenderedPageBreak/>
        <w:t>Centre for Business Research</w:t>
      </w:r>
    </w:p>
    <w:p w:rsidR="00703893" w:rsidRDefault="007E7879">
      <w:r w:rsidRPr="00B80469">
        <w:t>May</w:t>
      </w:r>
      <w:r w:rsidR="00703893" w:rsidRPr="00B80469">
        <w:t xml:space="preserve"> 2018</w:t>
      </w:r>
    </w:p>
    <w:sectPr w:rsidR="0070389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8D9" w:rsidRDefault="001F38D9" w:rsidP="007467FE">
      <w:pPr>
        <w:spacing w:after="0" w:line="240" w:lineRule="auto"/>
      </w:pPr>
      <w:r>
        <w:separator/>
      </w:r>
    </w:p>
  </w:endnote>
  <w:endnote w:type="continuationSeparator" w:id="0">
    <w:p w:rsidR="001F38D9" w:rsidRDefault="001F38D9" w:rsidP="0074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3686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67FE" w:rsidRDefault="007467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15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67FE" w:rsidRDefault="00746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8D9" w:rsidRDefault="001F38D9" w:rsidP="007467FE">
      <w:pPr>
        <w:spacing w:after="0" w:line="240" w:lineRule="auto"/>
      </w:pPr>
      <w:r>
        <w:separator/>
      </w:r>
    </w:p>
  </w:footnote>
  <w:footnote w:type="continuationSeparator" w:id="0">
    <w:p w:rsidR="001F38D9" w:rsidRDefault="001F38D9" w:rsidP="00746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427"/>
    <w:multiLevelType w:val="hybridMultilevel"/>
    <w:tmpl w:val="AF6C78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7053DA"/>
    <w:multiLevelType w:val="hybridMultilevel"/>
    <w:tmpl w:val="3B128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FC37EF"/>
    <w:multiLevelType w:val="hybridMultilevel"/>
    <w:tmpl w:val="13EC8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44975"/>
    <w:multiLevelType w:val="hybridMultilevel"/>
    <w:tmpl w:val="AF640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12"/>
    <w:rsid w:val="00036611"/>
    <w:rsid w:val="0004543D"/>
    <w:rsid w:val="00046AA3"/>
    <w:rsid w:val="00077719"/>
    <w:rsid w:val="00091FC1"/>
    <w:rsid w:val="0011099D"/>
    <w:rsid w:val="00140DD1"/>
    <w:rsid w:val="0016694D"/>
    <w:rsid w:val="00174A72"/>
    <w:rsid w:val="001766DC"/>
    <w:rsid w:val="00182473"/>
    <w:rsid w:val="001B0E31"/>
    <w:rsid w:val="001D376D"/>
    <w:rsid w:val="001D7ED6"/>
    <w:rsid w:val="001E61A8"/>
    <w:rsid w:val="001F38D9"/>
    <w:rsid w:val="002226B6"/>
    <w:rsid w:val="00250299"/>
    <w:rsid w:val="002515A1"/>
    <w:rsid w:val="0029274A"/>
    <w:rsid w:val="002C6542"/>
    <w:rsid w:val="00336B16"/>
    <w:rsid w:val="00345310"/>
    <w:rsid w:val="003453D4"/>
    <w:rsid w:val="00353187"/>
    <w:rsid w:val="00355FCB"/>
    <w:rsid w:val="0036120F"/>
    <w:rsid w:val="00372E42"/>
    <w:rsid w:val="00376312"/>
    <w:rsid w:val="00387BE6"/>
    <w:rsid w:val="003B5247"/>
    <w:rsid w:val="003C043B"/>
    <w:rsid w:val="003C22B7"/>
    <w:rsid w:val="003D412E"/>
    <w:rsid w:val="003E0C88"/>
    <w:rsid w:val="003E1AE5"/>
    <w:rsid w:val="003E547D"/>
    <w:rsid w:val="003E75BE"/>
    <w:rsid w:val="00406942"/>
    <w:rsid w:val="0044413E"/>
    <w:rsid w:val="00464231"/>
    <w:rsid w:val="00494333"/>
    <w:rsid w:val="004A6C23"/>
    <w:rsid w:val="004B01F2"/>
    <w:rsid w:val="004F5EBB"/>
    <w:rsid w:val="005029B4"/>
    <w:rsid w:val="00516ACA"/>
    <w:rsid w:val="005364FA"/>
    <w:rsid w:val="00546259"/>
    <w:rsid w:val="005479C7"/>
    <w:rsid w:val="00547DC2"/>
    <w:rsid w:val="005924C1"/>
    <w:rsid w:val="005C5494"/>
    <w:rsid w:val="005E2D1A"/>
    <w:rsid w:val="00604CDF"/>
    <w:rsid w:val="00687B8D"/>
    <w:rsid w:val="006B6250"/>
    <w:rsid w:val="006E4006"/>
    <w:rsid w:val="007024A1"/>
    <w:rsid w:val="00703893"/>
    <w:rsid w:val="007110A9"/>
    <w:rsid w:val="00727FEA"/>
    <w:rsid w:val="007467FE"/>
    <w:rsid w:val="0076185D"/>
    <w:rsid w:val="00783ADD"/>
    <w:rsid w:val="007C1334"/>
    <w:rsid w:val="007E7879"/>
    <w:rsid w:val="008026DE"/>
    <w:rsid w:val="00805CE0"/>
    <w:rsid w:val="00814731"/>
    <w:rsid w:val="00824AE2"/>
    <w:rsid w:val="00857C3F"/>
    <w:rsid w:val="00860A8B"/>
    <w:rsid w:val="00866FAC"/>
    <w:rsid w:val="008852F3"/>
    <w:rsid w:val="008938C1"/>
    <w:rsid w:val="00895367"/>
    <w:rsid w:val="008C21C2"/>
    <w:rsid w:val="008E4E03"/>
    <w:rsid w:val="0092126B"/>
    <w:rsid w:val="00941739"/>
    <w:rsid w:val="00951EBA"/>
    <w:rsid w:val="009572D4"/>
    <w:rsid w:val="00980D6C"/>
    <w:rsid w:val="00984B30"/>
    <w:rsid w:val="009F590C"/>
    <w:rsid w:val="00A00450"/>
    <w:rsid w:val="00A07228"/>
    <w:rsid w:val="00A3040A"/>
    <w:rsid w:val="00A525F4"/>
    <w:rsid w:val="00A7199F"/>
    <w:rsid w:val="00AE4696"/>
    <w:rsid w:val="00B6131A"/>
    <w:rsid w:val="00B64F82"/>
    <w:rsid w:val="00B80469"/>
    <w:rsid w:val="00B90D0E"/>
    <w:rsid w:val="00B92949"/>
    <w:rsid w:val="00BA3014"/>
    <w:rsid w:val="00BC1D02"/>
    <w:rsid w:val="00C45EE1"/>
    <w:rsid w:val="00C5443C"/>
    <w:rsid w:val="00C55D6F"/>
    <w:rsid w:val="00CB6F99"/>
    <w:rsid w:val="00D2023C"/>
    <w:rsid w:val="00D27277"/>
    <w:rsid w:val="00D36FA4"/>
    <w:rsid w:val="00DC786B"/>
    <w:rsid w:val="00DF3BFC"/>
    <w:rsid w:val="00E017C5"/>
    <w:rsid w:val="00E10223"/>
    <w:rsid w:val="00E3156D"/>
    <w:rsid w:val="00E63CBF"/>
    <w:rsid w:val="00EB1BD1"/>
    <w:rsid w:val="00EC257E"/>
    <w:rsid w:val="00ED5207"/>
    <w:rsid w:val="00EF1AEB"/>
    <w:rsid w:val="00F178ED"/>
    <w:rsid w:val="00F31C1B"/>
    <w:rsid w:val="00F4029A"/>
    <w:rsid w:val="00F506A5"/>
    <w:rsid w:val="00F51032"/>
    <w:rsid w:val="00F60561"/>
    <w:rsid w:val="00F647BF"/>
    <w:rsid w:val="00F80BC3"/>
    <w:rsid w:val="00F96AA2"/>
    <w:rsid w:val="00FB4346"/>
    <w:rsid w:val="00FD6E42"/>
    <w:rsid w:val="00FF2487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A46A"/>
  <w15:chartTrackingRefBased/>
  <w15:docId w15:val="{3C53C8F2-3F69-4409-9FDF-FECA6A97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7FE"/>
  </w:style>
  <w:style w:type="paragraph" w:styleId="Footer">
    <w:name w:val="footer"/>
    <w:basedOn w:val="Normal"/>
    <w:link w:val="FooterChar"/>
    <w:uiPriority w:val="99"/>
    <w:unhideWhenUsed/>
    <w:rsid w:val="00746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7FE"/>
  </w:style>
  <w:style w:type="table" w:styleId="TableGrid">
    <w:name w:val="Table Grid"/>
    <w:basedOn w:val="TableNormal"/>
    <w:uiPriority w:val="39"/>
    <w:rsid w:val="00746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8</Pages>
  <Words>2980</Words>
  <Characters>16987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Judge Business School</Company>
  <LinksUpToDate>false</LinksUpToDate>
  <CharactersWithSpaces>19928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Caselli</dc:creator>
  <cp:keywords/>
  <dc:description/>
  <cp:lastModifiedBy>Giorgio Caselli</cp:lastModifiedBy>
  <cp:revision>88</cp:revision>
  <dcterms:created xsi:type="dcterms:W3CDTF">2018-03-28T15:32:00Z</dcterms:created>
  <dcterms:modified xsi:type="dcterms:W3CDTF">2018-05-21T10:50:00Z</dcterms:modified>
</cp:coreProperties>
</file>